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356A">
      <w:pPr>
        <w:pStyle w:val="20"/>
        <w:spacing w:line="240" w:lineRule="auto"/>
        <w:contextualSpacing w:val="0"/>
        <w:rPr>
          <w:rFonts w:asciiTheme="majorBidi" w:hAnsiTheme="majorBidi" w:cstheme="majorBidi"/>
          <w:sz w:val="20"/>
          <w:szCs w:val="20"/>
        </w:rPr>
      </w:pPr>
    </w:p>
    <w:p w14:paraId="060506D2">
      <w:pPr>
        <w:pStyle w:val="20"/>
        <w:spacing w:line="240" w:lineRule="auto"/>
        <w:rPr>
          <w:rFonts w:asciiTheme="majorBidi" w:hAnsiTheme="majorBidi" w:cstheme="majorBidi"/>
          <w:sz w:val="24"/>
          <w:szCs w:val="24"/>
          <w:rtl/>
        </w:rPr>
      </w:pPr>
      <w:r>
        <w:rPr>
          <w:rFonts w:asciiTheme="majorBidi" w:hAnsiTheme="majorBidi" w:cstheme="majorBidi"/>
          <w:sz w:val="24"/>
          <w:szCs w:val="24"/>
        </w:rPr>
        <w:t xml:space="preserve">Nematicidal Potential of Selected Furfural Derivatives Against </w:t>
      </w:r>
      <w:r>
        <w:rPr>
          <w:rFonts w:asciiTheme="majorBidi" w:hAnsiTheme="majorBidi" w:cstheme="majorBidi"/>
          <w:i/>
          <w:iCs/>
          <w:sz w:val="24"/>
          <w:szCs w:val="24"/>
        </w:rPr>
        <w:t>Meloidogyne incognita</w:t>
      </w:r>
      <w:r>
        <w:rPr>
          <w:rFonts w:asciiTheme="majorBidi" w:hAnsiTheme="majorBidi" w:cstheme="majorBidi"/>
          <w:sz w:val="24"/>
          <w:szCs w:val="24"/>
        </w:rPr>
        <w:t xml:space="preserve"> and </w:t>
      </w:r>
      <w:r>
        <w:rPr>
          <w:rFonts w:asciiTheme="majorBidi" w:hAnsiTheme="majorBidi" w:cstheme="majorBidi"/>
          <w:i/>
          <w:iCs/>
          <w:sz w:val="24"/>
          <w:szCs w:val="24"/>
        </w:rPr>
        <w:t>Tylenchulus semipenetrans</w:t>
      </w:r>
      <w:r>
        <w:rPr>
          <w:rFonts w:asciiTheme="majorBidi" w:hAnsiTheme="majorBidi" w:cstheme="majorBidi"/>
          <w:sz w:val="24"/>
          <w:szCs w:val="24"/>
        </w:rPr>
        <w:t>: Toward Sustainable Nematode Management.</w:t>
      </w:r>
    </w:p>
    <w:p w14:paraId="57C7C601">
      <w:pPr>
        <w:pStyle w:val="20"/>
        <w:spacing w:line="240" w:lineRule="auto"/>
        <w:rPr>
          <w:rFonts w:asciiTheme="majorBidi" w:hAnsiTheme="majorBidi" w:cstheme="majorBidi"/>
          <w:sz w:val="20"/>
          <w:szCs w:val="20"/>
          <w:rtl/>
          <w:lang w:bidi="ar-EG"/>
        </w:rPr>
      </w:pPr>
      <w:r>
        <w:rPr>
          <w:rFonts w:asciiTheme="majorBidi" w:hAnsiTheme="majorBidi" w:cstheme="majorBidi"/>
          <w:sz w:val="20"/>
          <w:szCs w:val="20"/>
        </w:rPr>
        <w:t xml:space="preserve">Ghada Ashraf </w:t>
      </w:r>
      <w:r>
        <w:rPr>
          <w:rFonts w:asciiTheme="majorBidi" w:hAnsiTheme="majorBidi" w:cstheme="majorBidi"/>
          <w:sz w:val="20"/>
          <w:szCs w:val="20"/>
          <w:vertAlign w:val="superscript"/>
        </w:rPr>
        <w:t>a ,</w:t>
      </w:r>
      <w:r>
        <w:rPr>
          <w:rFonts w:asciiTheme="majorBidi" w:hAnsiTheme="majorBidi" w:cstheme="majorBidi"/>
          <w:sz w:val="20"/>
          <w:szCs w:val="20"/>
        </w:rPr>
        <w:t xml:space="preserve"> Gad Rady</w:t>
      </w:r>
      <w:r>
        <w:rPr>
          <w:rFonts w:asciiTheme="majorBidi" w:hAnsiTheme="majorBidi" w:cstheme="majorBidi"/>
          <w:sz w:val="20"/>
          <w:szCs w:val="20"/>
          <w:vertAlign w:val="superscript"/>
        </w:rPr>
        <w:t>a</w:t>
      </w:r>
      <w:r>
        <w:rPr>
          <w:rFonts w:asciiTheme="majorBidi" w:hAnsiTheme="majorBidi" w:cstheme="majorBidi"/>
          <w:sz w:val="20"/>
          <w:szCs w:val="20"/>
        </w:rPr>
        <w:t xml:space="preserve">, Hazem Abdelnabby </w:t>
      </w:r>
      <w:r>
        <w:rPr>
          <w:rFonts w:asciiTheme="majorBidi" w:hAnsiTheme="majorBidi" w:cstheme="majorBidi"/>
          <w:sz w:val="20"/>
          <w:szCs w:val="20"/>
          <w:vertAlign w:val="superscript"/>
        </w:rPr>
        <w:t>a</w:t>
      </w:r>
      <w:r>
        <w:rPr>
          <w:rFonts w:asciiTheme="majorBidi" w:hAnsiTheme="majorBidi" w:cstheme="majorBidi"/>
          <w:sz w:val="20"/>
          <w:szCs w:val="20"/>
        </w:rPr>
        <w:t xml:space="preserve"> Nevin Ahmed </w:t>
      </w:r>
      <w:r>
        <w:rPr>
          <w:rFonts w:asciiTheme="majorBidi" w:hAnsiTheme="majorBidi" w:cstheme="majorBidi"/>
          <w:sz w:val="20"/>
          <w:szCs w:val="20"/>
          <w:vertAlign w:val="superscript"/>
        </w:rPr>
        <w:t>a</w:t>
      </w:r>
      <w:r>
        <w:rPr>
          <w:rFonts w:asciiTheme="majorBidi" w:hAnsiTheme="majorBidi" w:cstheme="majorBidi"/>
          <w:sz w:val="20"/>
          <w:szCs w:val="20"/>
        </w:rPr>
        <w:t>, Dina S.S. Ibrahim</w:t>
      </w:r>
      <w:r>
        <w:rPr>
          <w:rFonts w:asciiTheme="majorBidi" w:hAnsiTheme="majorBidi" w:cstheme="majorBidi"/>
          <w:sz w:val="20"/>
          <w:szCs w:val="20"/>
          <w:vertAlign w:val="superscript"/>
        </w:rPr>
        <w:t>b</w:t>
      </w:r>
      <w:r>
        <w:rPr>
          <w:rFonts w:asciiTheme="majorBidi" w:hAnsiTheme="majorBidi" w:cstheme="majorBidi"/>
          <w:sz w:val="20"/>
          <w:szCs w:val="20"/>
        </w:rPr>
        <w:t>.</w:t>
      </w:r>
    </w:p>
    <w:p w14:paraId="26040B5A">
      <w:pPr>
        <w:pStyle w:val="20"/>
        <w:spacing w:line="240" w:lineRule="auto"/>
        <w:rPr>
          <w:rFonts w:asciiTheme="majorBidi" w:hAnsiTheme="majorBidi" w:cstheme="majorBidi"/>
          <w:b w:val="0"/>
          <w:bCs w:val="0"/>
          <w:sz w:val="20"/>
          <w:szCs w:val="20"/>
        </w:rPr>
      </w:pPr>
      <w:r>
        <w:rPr>
          <w:rFonts w:asciiTheme="majorBidi" w:hAnsiTheme="majorBidi" w:cstheme="majorBidi"/>
          <w:b w:val="0"/>
          <w:bCs w:val="0"/>
          <w:sz w:val="20"/>
          <w:szCs w:val="20"/>
        </w:rPr>
        <w:t>a- Department of Plant Protection, Faculty of Agriculture, Benha University, Qaliubia 13736, Egypt.</w:t>
      </w:r>
    </w:p>
    <w:p w14:paraId="04344042">
      <w:pPr>
        <w:pStyle w:val="20"/>
        <w:spacing w:line="240" w:lineRule="auto"/>
        <w:rPr>
          <w:rFonts w:asciiTheme="majorBidi" w:hAnsiTheme="majorBidi" w:cstheme="majorBidi"/>
          <w:b w:val="0"/>
          <w:bCs w:val="0"/>
          <w:sz w:val="20"/>
          <w:szCs w:val="20"/>
          <w:rtl/>
          <w:lang w:bidi="ar-EG"/>
        </w:rPr>
      </w:pPr>
      <w:r>
        <w:rPr>
          <w:rFonts w:asciiTheme="majorBidi" w:hAnsiTheme="majorBidi" w:cstheme="majorBidi"/>
          <w:b w:val="0"/>
          <w:bCs w:val="0"/>
          <w:sz w:val="20"/>
          <w:szCs w:val="20"/>
        </w:rPr>
        <w:t>b-Nematology Department, Plant Pathology Institute, Agricultural Research Center (ARC), 12619 Giza, Egypt.</w:t>
      </w:r>
    </w:p>
    <w:p w14:paraId="60BA9AE7">
      <w:pPr>
        <w:pStyle w:val="20"/>
        <w:spacing w:line="240" w:lineRule="auto"/>
        <w:rPr>
          <w:rFonts w:asciiTheme="majorBidi" w:hAnsiTheme="majorBidi" w:cstheme="majorBidi"/>
          <w:b w:val="0"/>
          <w:bCs w:val="0"/>
          <w:sz w:val="20"/>
          <w:szCs w:val="20"/>
        </w:rPr>
      </w:pPr>
      <w:r>
        <w:rPr>
          <w:rFonts w:asciiTheme="majorBidi" w:hAnsiTheme="majorBidi" w:cstheme="majorBidi"/>
          <w:b w:val="0"/>
          <w:bCs w:val="0"/>
          <w:sz w:val="20"/>
          <w:szCs w:val="20"/>
        </w:rPr>
        <w:t>E-mail:</w:t>
      </w:r>
      <w:r>
        <w:rPr>
          <w:b w:val="0"/>
          <w:bCs w:val="0"/>
        </w:rPr>
        <w:t xml:space="preserve"> </w:t>
      </w:r>
      <w:r>
        <w:rPr>
          <w:rFonts w:asciiTheme="majorBidi" w:hAnsiTheme="majorBidi" w:cstheme="majorBidi"/>
          <w:b w:val="0"/>
          <w:bCs w:val="0"/>
          <w:sz w:val="20"/>
          <w:szCs w:val="20"/>
        </w:rPr>
        <w:t>ghada1231998@gmail.com</w:t>
      </w:r>
    </w:p>
    <w:p w14:paraId="1C39650A">
      <w:pPr>
        <w:pStyle w:val="18"/>
        <w:spacing w:before="0" w:after="0" w:line="240" w:lineRule="auto"/>
        <w:rPr>
          <w:b w:val="0"/>
          <w:bCs w:val="0"/>
          <w:sz w:val="20"/>
          <w:szCs w:val="20"/>
          <w:lang w:val="en-US"/>
        </w:rPr>
      </w:pPr>
      <w:r>
        <w:rPr>
          <w:b w:val="0"/>
          <w:bCs w:val="0"/>
          <w:sz w:val="20"/>
          <w:szCs w:val="20"/>
          <w:lang w:val="en-US"/>
        </w:rPr>
        <w:t xml:space="preserve">Abstract </w:t>
      </w:r>
    </w:p>
    <w:p w14:paraId="60DDFCEF">
      <w:pPr>
        <w:pStyle w:val="15"/>
        <w:tabs>
          <w:tab w:val="left" w:pos="360"/>
        </w:tabs>
        <w:spacing w:after="0" w:line="240" w:lineRule="auto"/>
        <w:ind w:firstLine="360"/>
        <w:rPr>
          <w:i/>
          <w:iCs/>
          <w:sz w:val="20"/>
          <w:szCs w:val="20"/>
        </w:rPr>
      </w:pPr>
      <w:r>
        <w:rPr>
          <w:sz w:val="20"/>
          <w:szCs w:val="20"/>
          <w:rtl/>
        </w:rPr>
        <w:t>‏</w:t>
      </w:r>
      <w:r>
        <w:rPr>
          <w:sz w:val="20"/>
          <w:szCs w:val="20"/>
        </w:rPr>
        <w:t>Nematicides are used in controlling plant parasitic nematode</w:t>
      </w:r>
      <w:r>
        <w:rPr>
          <w:sz w:val="20"/>
          <w:szCs w:val="20"/>
          <w:rtl/>
        </w:rPr>
        <w:t xml:space="preserve"> </w:t>
      </w:r>
      <w:r>
        <w:rPr>
          <w:sz w:val="20"/>
          <w:szCs w:val="20"/>
        </w:rPr>
        <w:t xml:space="preserve">for many years.  The harmful effect of nematicides was threaten the environment so that there was a high need to find alternatives. Furfural derivatives are one of the promising alternatives to fill this need. In this study 6 furfural derivatives were Synthesised and applied against </w:t>
      </w:r>
      <w:r>
        <w:rPr>
          <w:i/>
          <w:iCs/>
          <w:sz w:val="20"/>
          <w:szCs w:val="20"/>
        </w:rPr>
        <w:t>Meloidogyne incognita</w:t>
      </w:r>
      <w:r>
        <w:rPr>
          <w:sz w:val="20"/>
          <w:szCs w:val="20"/>
        </w:rPr>
        <w:t xml:space="preserve"> and </w:t>
      </w:r>
      <w:r>
        <w:rPr>
          <w:i/>
          <w:iCs/>
          <w:sz w:val="20"/>
          <w:szCs w:val="20"/>
        </w:rPr>
        <w:t>Tylenchulus semipenetran</w:t>
      </w:r>
      <w:r>
        <w:rPr>
          <w:sz w:val="20"/>
          <w:szCs w:val="20"/>
        </w:rPr>
        <w:t xml:space="preserve"> . In vitro tests showed gradual mortality rates in the second stage juvenile (J2) of </w:t>
      </w:r>
      <w:r>
        <w:rPr>
          <w:i/>
          <w:iCs/>
          <w:sz w:val="20"/>
          <w:szCs w:val="20"/>
        </w:rPr>
        <w:t>M. incognita</w:t>
      </w:r>
      <w:r>
        <w:rPr>
          <w:sz w:val="20"/>
          <w:szCs w:val="20"/>
        </w:rPr>
        <w:t xml:space="preserve"> and </w:t>
      </w:r>
      <w:r>
        <w:rPr>
          <w:i/>
          <w:iCs/>
          <w:sz w:val="20"/>
          <w:szCs w:val="20"/>
        </w:rPr>
        <w:t>T.semipenetran</w:t>
      </w:r>
      <w:r>
        <w:rPr>
          <w:sz w:val="20"/>
          <w:szCs w:val="20"/>
        </w:rPr>
        <w:t xml:space="preserve"> when immersed in concentrations of furfural derivatives. These results indicated that furfural derivatives can affect juvenile viability of </w:t>
      </w:r>
      <w:r>
        <w:rPr>
          <w:i/>
          <w:iCs/>
          <w:sz w:val="20"/>
          <w:szCs w:val="20"/>
        </w:rPr>
        <w:t>M. incognita</w:t>
      </w:r>
      <w:r>
        <w:rPr>
          <w:sz w:val="20"/>
          <w:szCs w:val="20"/>
        </w:rPr>
        <w:t xml:space="preserve"> and </w:t>
      </w:r>
      <w:r>
        <w:rPr>
          <w:i/>
          <w:iCs/>
          <w:sz w:val="20"/>
          <w:szCs w:val="20"/>
        </w:rPr>
        <w:t xml:space="preserve">T. semipenetran </w:t>
      </w:r>
      <w:r>
        <w:rPr>
          <w:sz w:val="20"/>
          <w:szCs w:val="20"/>
        </w:rPr>
        <w:t>. Furfural derivatives may therefore be one of the considerable potentials as an appropriate alternative for class I nematicides. Furfural derivatives were toxic to both tested nematode species. The toxic effect was more pronounced by increasing furfural concentration and exposure time (especially at 2h exposure). After 12 h, no viable J2 were detected at high concentrations (1.5%).</w:t>
      </w:r>
    </w:p>
    <w:p w14:paraId="58830294">
      <w:pPr>
        <w:pStyle w:val="15"/>
        <w:tabs>
          <w:tab w:val="left" w:pos="360"/>
        </w:tabs>
        <w:spacing w:after="0" w:line="240" w:lineRule="auto"/>
        <w:ind w:firstLine="360"/>
        <w:rPr>
          <w:sz w:val="20"/>
          <w:szCs w:val="20"/>
        </w:rPr>
      </w:pPr>
    </w:p>
    <w:p w14:paraId="6DEABEC2">
      <w:pPr>
        <w:pStyle w:val="15"/>
        <w:tabs>
          <w:tab w:val="left" w:pos="360"/>
        </w:tabs>
        <w:spacing w:after="0" w:line="240" w:lineRule="auto"/>
        <w:ind w:firstLine="360"/>
        <w:rPr>
          <w:sz w:val="20"/>
          <w:szCs w:val="20"/>
        </w:rPr>
      </w:pPr>
      <w:r>
        <w:rPr>
          <w:sz w:val="20"/>
          <w:szCs w:val="20"/>
          <w:lang w:val="en-US"/>
        </w:rPr>
        <w:t xml:space="preserve"> Keywords: </w:t>
      </w:r>
      <w:r>
        <w:rPr>
          <w:sz w:val="20"/>
          <w:szCs w:val="20"/>
        </w:rPr>
        <w:t>Furfural, Furfural derivatives, Control, Eco-friendly,</w:t>
      </w:r>
      <w:r>
        <w:rPr>
          <w:i/>
          <w:iCs/>
          <w:sz w:val="20"/>
          <w:szCs w:val="20"/>
        </w:rPr>
        <w:t xml:space="preserve"> Meloidogyne</w:t>
      </w:r>
      <w:r>
        <w:rPr>
          <w:sz w:val="20"/>
          <w:szCs w:val="20"/>
        </w:rPr>
        <w:t xml:space="preserve"> spp.,</w:t>
      </w:r>
      <w:r>
        <w:rPr>
          <w:i/>
          <w:iCs/>
          <w:sz w:val="20"/>
          <w:szCs w:val="20"/>
        </w:rPr>
        <w:t xml:space="preserve"> Tylenchulus semipenetran</w:t>
      </w:r>
      <w:r>
        <w:rPr>
          <w:sz w:val="20"/>
          <w:szCs w:val="20"/>
        </w:rPr>
        <w:t xml:space="preserve">, </w:t>
      </w:r>
    </w:p>
    <w:p w14:paraId="2F24DE7C">
      <w:pPr>
        <w:pStyle w:val="15"/>
        <w:tabs>
          <w:tab w:val="left" w:pos="360"/>
        </w:tabs>
        <w:spacing w:after="0" w:line="240" w:lineRule="auto"/>
        <w:ind w:firstLine="360"/>
        <w:rPr>
          <w:sz w:val="20"/>
          <w:szCs w:val="20"/>
        </w:rPr>
      </w:pPr>
    </w:p>
    <w:p w14:paraId="4906A243">
      <w:pPr>
        <w:spacing w:after="0" w:line="240" w:lineRule="auto"/>
        <w:rPr>
          <w:rFonts w:asciiTheme="majorBidi" w:hAnsiTheme="majorBidi" w:cstheme="majorBidi"/>
          <w:b/>
          <w:bCs/>
          <w:sz w:val="20"/>
          <w:szCs w:val="2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106" w:bottom="1440" w:left="1080" w:header="720" w:footer="720" w:gutter="0"/>
          <w:pgNumType w:start="11"/>
          <w:cols w:space="720" w:num="1"/>
          <w:titlePg/>
          <w:docGrid w:linePitch="360" w:charSpace="0"/>
        </w:sectPr>
      </w:pPr>
    </w:p>
    <w:p w14:paraId="70397E11">
      <w:pPr>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1. Introduction </w:t>
      </w:r>
    </w:p>
    <w:p w14:paraId="4751BF15">
      <w:pPr>
        <w:pStyle w:val="15"/>
        <w:spacing w:after="0" w:line="240" w:lineRule="auto"/>
        <w:ind w:firstLine="360"/>
        <w:rPr>
          <w:b/>
          <w:bCs/>
          <w:sz w:val="20"/>
          <w:szCs w:val="20"/>
        </w:rPr>
      </w:pPr>
      <w:r>
        <w:rPr>
          <w:sz w:val="20"/>
          <w:szCs w:val="20"/>
        </w:rPr>
        <w:t xml:space="preserve">   Plant parasitic nematodes (PPNs) are considered one of the most significant pathogens for various crops worldwide, including vegetables, fruits, grains, and ornamental plants. They damage crops directly by feeding on plant roots and indirectly by cooperate with other soil microorganisms, causing complex diseases that increase the plant's susceptibility to secondary infections by fungi and bacteria. Moreover, they play a role as vectors for several plant viruses </w:t>
      </w:r>
      <w:r>
        <w:rPr>
          <w:b/>
          <w:bCs/>
          <w:sz w:val="20"/>
          <w:szCs w:val="20"/>
        </w:rPr>
        <w:t>[1]</w:t>
      </w:r>
    </w:p>
    <w:p w14:paraId="261C62FF">
      <w:pPr>
        <w:pStyle w:val="15"/>
        <w:spacing w:after="0" w:line="240" w:lineRule="auto"/>
        <w:ind w:firstLine="360"/>
        <w:rPr>
          <w:sz w:val="20"/>
          <w:szCs w:val="20"/>
        </w:rPr>
      </w:pPr>
      <w:r>
        <w:rPr>
          <w:sz w:val="20"/>
          <w:szCs w:val="20"/>
        </w:rPr>
        <w:t xml:space="preserve">   Root-knot nematodes (RKNs), specifically </w:t>
      </w:r>
      <w:r>
        <w:rPr>
          <w:i/>
          <w:iCs/>
          <w:sz w:val="20"/>
          <w:szCs w:val="20"/>
        </w:rPr>
        <w:t>Meloidogyne</w:t>
      </w:r>
      <w:r>
        <w:rPr>
          <w:sz w:val="20"/>
          <w:szCs w:val="20"/>
        </w:rPr>
        <w:t xml:space="preserve"> spp., are regarded as the most destructive and well-known group of plant parasitic nematodes globally. These are obligate, endoparasitic nematodes that infest the roots of crops. </w:t>
      </w:r>
      <w:r>
        <w:rPr>
          <w:i/>
          <w:iCs/>
          <w:sz w:val="20"/>
          <w:szCs w:val="20"/>
        </w:rPr>
        <w:t>Meloidogyne</w:t>
      </w:r>
      <w:r>
        <w:rPr>
          <w:sz w:val="20"/>
          <w:szCs w:val="20"/>
        </w:rPr>
        <w:t xml:space="preserve"> spp. cause significant losses in numerous economically important crops worldwide and have a broad host range, including over 5,500 plant species </w:t>
      </w:r>
      <w:r>
        <w:rPr>
          <w:b/>
          <w:bCs/>
          <w:sz w:val="20"/>
          <w:szCs w:val="20"/>
        </w:rPr>
        <w:t>[2]</w:t>
      </w:r>
      <w:r>
        <w:rPr>
          <w:sz w:val="20"/>
          <w:szCs w:val="20"/>
        </w:rPr>
        <w:t xml:space="preserve">. They are responsible for approximately 5% of global crop losses. When </w:t>
      </w:r>
      <w:r>
        <w:rPr>
          <w:i/>
          <w:iCs/>
          <w:sz w:val="20"/>
          <w:szCs w:val="20"/>
        </w:rPr>
        <w:t>Meloidogyne</w:t>
      </w:r>
      <w:r>
        <w:rPr>
          <w:sz w:val="20"/>
          <w:szCs w:val="20"/>
        </w:rPr>
        <w:t xml:space="preserve"> spp. attack plant roots, root galls are formed due to their parasitic feeding behavior. [3]</w:t>
      </w:r>
    </w:p>
    <w:p w14:paraId="2285F4D8">
      <w:pPr>
        <w:pStyle w:val="15"/>
        <w:spacing w:after="0" w:line="240" w:lineRule="auto"/>
        <w:ind w:firstLine="360"/>
        <w:rPr>
          <w:b/>
          <w:bCs/>
          <w:sz w:val="20"/>
          <w:szCs w:val="20"/>
        </w:rPr>
      </w:pPr>
      <w:r>
        <w:rPr>
          <w:sz w:val="20"/>
          <w:szCs w:val="20"/>
        </w:rPr>
        <w:t xml:space="preserve">  The citrus nematode, </w:t>
      </w:r>
      <w:r>
        <w:rPr>
          <w:i/>
          <w:iCs/>
          <w:sz w:val="20"/>
          <w:szCs w:val="20"/>
        </w:rPr>
        <w:t>Tylenchulus semipenetrans</w:t>
      </w:r>
      <w:r>
        <w:rPr>
          <w:sz w:val="20"/>
          <w:szCs w:val="20"/>
        </w:rPr>
        <w:t xml:space="preserve">, which is the main cause of 'slow decline' in citrus, is one of the most damaging nematode pests of citrus crops, leading to severe crop losses globally. Management of the citrus nematode is challenging due to its wide host range and its ability to adapt to various climatic conditions </w:t>
      </w:r>
      <w:r>
        <w:rPr>
          <w:b/>
          <w:bCs/>
          <w:sz w:val="20"/>
          <w:szCs w:val="20"/>
        </w:rPr>
        <w:t>[4]</w:t>
      </w:r>
    </w:p>
    <w:p w14:paraId="116278F2">
      <w:pPr>
        <w:pStyle w:val="15"/>
        <w:spacing w:after="0" w:line="240" w:lineRule="auto"/>
        <w:ind w:firstLine="0"/>
        <w:rPr>
          <w:sz w:val="20"/>
          <w:szCs w:val="20"/>
        </w:rPr>
      </w:pPr>
      <w:r>
        <w:rPr>
          <w:sz w:val="20"/>
          <w:szCs w:val="20"/>
        </w:rPr>
        <w:t xml:space="preserve">   Nematicides have been used for controlling plant parasitic nematodes for many years. However, the harmful effects of these chemicals have raised concerns about environmental pollution. </w:t>
      </w:r>
      <w:r>
        <w:rPr>
          <w:b/>
          <w:bCs/>
          <w:sz w:val="20"/>
          <w:szCs w:val="20"/>
        </w:rPr>
        <w:t>[5]</w:t>
      </w:r>
    </w:p>
    <w:p w14:paraId="2D5074EE">
      <w:pPr>
        <w:pStyle w:val="15"/>
        <w:spacing w:after="0" w:line="240" w:lineRule="auto"/>
        <w:ind w:firstLine="360"/>
        <w:rPr>
          <w:sz w:val="20"/>
          <w:szCs w:val="20"/>
        </w:rPr>
      </w:pPr>
      <w:r>
        <w:rPr>
          <w:sz w:val="20"/>
          <w:szCs w:val="20"/>
        </w:rPr>
        <w:t xml:space="preserve">  The use of nematicides threatens ecosystems by contaminating the soil, air, and water, and damaging the beneficial microflora and microfauna. Additionally, they can interfere with the uptake of essential nutrients by plants and adversely affect other organisms, including bees and humans. </w:t>
      </w:r>
      <w:r>
        <w:rPr>
          <w:b/>
          <w:bCs/>
          <w:sz w:val="20"/>
          <w:szCs w:val="20"/>
        </w:rPr>
        <w:t xml:space="preserve">[6]  </w:t>
      </w:r>
      <w:r>
        <w:rPr>
          <w:sz w:val="20"/>
          <w:szCs w:val="20"/>
        </w:rPr>
        <w:t xml:space="preserve"> </w:t>
      </w:r>
    </w:p>
    <w:p w14:paraId="1AE86701">
      <w:pPr>
        <w:pStyle w:val="15"/>
        <w:spacing w:after="0" w:line="240" w:lineRule="auto"/>
        <w:ind w:firstLine="0"/>
        <w:rPr>
          <w:sz w:val="20"/>
          <w:szCs w:val="20"/>
        </w:rPr>
      </w:pPr>
    </w:p>
    <w:p w14:paraId="21A7195E">
      <w:pPr>
        <w:pStyle w:val="15"/>
        <w:spacing w:after="0" w:line="240" w:lineRule="auto"/>
        <w:ind w:firstLine="0"/>
        <w:rPr>
          <w:b/>
          <w:bCs/>
          <w:sz w:val="20"/>
          <w:szCs w:val="20"/>
        </w:rPr>
      </w:pPr>
      <w:r>
        <w:rPr>
          <w:sz w:val="20"/>
          <w:szCs w:val="20"/>
        </w:rPr>
        <w:t xml:space="preserve">      Nematicides can alter the biochemical and physiological behavior of soil microorganisms, causing disruptions in soil ecosystems and potentially entering the food chain, thereby posing risks to human health. Therefore, there is an urgent need to explore eco-friendly alternatives to nematicides </w:t>
      </w:r>
      <w:r>
        <w:rPr>
          <w:b/>
          <w:bCs/>
          <w:sz w:val="20"/>
          <w:szCs w:val="20"/>
        </w:rPr>
        <w:t>([7]</w:t>
      </w:r>
    </w:p>
    <w:p w14:paraId="474F1E1C">
      <w:pPr>
        <w:pStyle w:val="15"/>
        <w:spacing w:after="0" w:line="240" w:lineRule="auto"/>
        <w:ind w:firstLine="360"/>
        <w:rPr>
          <w:sz w:val="20"/>
          <w:szCs w:val="20"/>
        </w:rPr>
      </w:pPr>
      <w:r>
        <w:rPr>
          <w:sz w:val="20"/>
          <w:szCs w:val="20"/>
        </w:rPr>
        <w:t xml:space="preserve">  Furfural (2-furancarboxaldehyde) is a naturally occurring organic compound produced from organic agricultural residues such as brans, cereal straw, and sugarcane bagasse </w:t>
      </w:r>
      <w:r>
        <w:rPr>
          <w:b/>
          <w:bCs/>
          <w:sz w:val="20"/>
          <w:szCs w:val="20"/>
        </w:rPr>
        <w:t>[8]</w:t>
      </w:r>
    </w:p>
    <w:p w14:paraId="43368D23">
      <w:pPr>
        <w:pStyle w:val="15"/>
        <w:spacing w:after="0" w:line="240" w:lineRule="auto"/>
        <w:ind w:firstLine="360"/>
        <w:rPr>
          <w:sz w:val="20"/>
          <w:szCs w:val="20"/>
        </w:rPr>
      </w:pPr>
      <w:r>
        <w:rPr>
          <w:sz w:val="20"/>
          <w:szCs w:val="20"/>
        </w:rPr>
        <w:t xml:space="preserve"> The functional groups and molecular weight of furfural have been precisely identified using GC-MS spectroscopy. It has a molecular formula of C₅H₄O₂ and a molecular weight of 96.0. The IR spectrum shows a very strong absorption at 1714.46 cm⁻¹, corresponding to the conjugated carbonyl (C=O) functional group </w:t>
      </w:r>
      <w:r>
        <w:rPr>
          <w:b/>
          <w:bCs/>
          <w:sz w:val="20"/>
          <w:szCs w:val="20"/>
        </w:rPr>
        <w:t>[9]</w:t>
      </w:r>
    </w:p>
    <w:p w14:paraId="1A514F11">
      <w:pPr>
        <w:pStyle w:val="15"/>
        <w:spacing w:after="0" w:line="240" w:lineRule="auto"/>
        <w:ind w:firstLine="360"/>
        <w:rPr>
          <w:b/>
          <w:bCs/>
          <w:sz w:val="20"/>
          <w:szCs w:val="20"/>
        </w:rPr>
      </w:pPr>
      <w:r>
        <w:rPr>
          <w:sz w:val="20"/>
          <w:szCs w:val="20"/>
        </w:rPr>
        <w:t xml:space="preserve">Furfural residues play an important role in improving soil properties, as they are rich in carbon (pH = 2) and contain valuable nutrients. These properties can enhance the pH (reducing alkalinity), bulk density, compactness, water holding capacity, and overall soil quality. Furfural is known to act as a fungicide, nematicide, and weed killer. It is a contact safety nematicide that can be used effectively in low concentrations, making it a safe and easy-to-apply alternative </w:t>
      </w:r>
      <w:r>
        <w:rPr>
          <w:b/>
          <w:bCs/>
          <w:sz w:val="20"/>
          <w:szCs w:val="20"/>
        </w:rPr>
        <w:t>[10]</w:t>
      </w:r>
      <w:r>
        <w:rPr>
          <w:sz w:val="20"/>
          <w:szCs w:val="20"/>
        </w:rPr>
        <w:t xml:space="preserve"> </w:t>
      </w:r>
    </w:p>
    <w:p w14:paraId="54B26829">
      <w:pPr>
        <w:pStyle w:val="15"/>
        <w:spacing w:after="0" w:line="240" w:lineRule="auto"/>
        <w:ind w:firstLine="360"/>
        <w:rPr>
          <w:sz w:val="20"/>
          <w:szCs w:val="20"/>
        </w:rPr>
      </w:pPr>
    </w:p>
    <w:p w14:paraId="12634E66">
      <w:pPr>
        <w:pStyle w:val="15"/>
        <w:spacing w:after="0" w:line="240" w:lineRule="auto"/>
        <w:ind w:firstLine="360"/>
        <w:rPr>
          <w:sz w:val="20"/>
          <w:szCs w:val="20"/>
        </w:rPr>
      </w:pPr>
      <w:r>
        <w:rPr>
          <w:sz w:val="20"/>
          <w:szCs w:val="20"/>
        </w:rPr>
        <w:t>The aim of this study is to synthesize furfural derivatives and evaluate their effects on the juvenile stages (J</w:t>
      </w:r>
      <w:r>
        <w:rPr>
          <w:sz w:val="20"/>
          <w:szCs w:val="20"/>
          <w:vertAlign w:val="subscript"/>
        </w:rPr>
        <w:t>2</w:t>
      </w:r>
      <w:r>
        <w:rPr>
          <w:sz w:val="20"/>
          <w:szCs w:val="20"/>
        </w:rPr>
        <w:t xml:space="preserve">) of </w:t>
      </w:r>
      <w:r>
        <w:rPr>
          <w:i/>
          <w:iCs/>
          <w:sz w:val="20"/>
          <w:szCs w:val="20"/>
        </w:rPr>
        <w:t>Meloidogyne</w:t>
      </w:r>
      <w:r>
        <w:rPr>
          <w:sz w:val="20"/>
          <w:szCs w:val="20"/>
        </w:rPr>
        <w:t xml:space="preserve"> spp. and </w:t>
      </w:r>
      <w:r>
        <w:rPr>
          <w:i/>
          <w:iCs/>
          <w:sz w:val="20"/>
          <w:szCs w:val="20"/>
        </w:rPr>
        <w:t>Tylenchulus semipenetrans</w:t>
      </w:r>
      <w:r>
        <w:rPr>
          <w:sz w:val="20"/>
          <w:szCs w:val="20"/>
        </w:rPr>
        <w:t>.</w:t>
      </w:r>
    </w:p>
    <w:p w14:paraId="72DC4B79">
      <w:pPr>
        <w:pStyle w:val="15"/>
        <w:spacing w:after="0" w:line="240" w:lineRule="auto"/>
        <w:ind w:firstLine="360"/>
        <w:rPr>
          <w:sz w:val="20"/>
          <w:szCs w:val="20"/>
        </w:rPr>
      </w:pPr>
    </w:p>
    <w:p w14:paraId="3165C039">
      <w:pPr>
        <w:spacing w:after="0" w:line="240" w:lineRule="auto"/>
        <w:rPr>
          <w:rFonts w:asciiTheme="majorBidi" w:hAnsiTheme="majorBidi" w:cstheme="majorBidi"/>
          <w:b/>
          <w:bCs/>
          <w:sz w:val="20"/>
          <w:szCs w:val="20"/>
        </w:rPr>
      </w:pPr>
      <w:r>
        <w:rPr>
          <w:rFonts w:asciiTheme="majorBidi" w:hAnsiTheme="majorBidi" w:cstheme="majorBidi"/>
          <w:b/>
          <w:bCs/>
          <w:sz w:val="20"/>
          <w:szCs w:val="20"/>
        </w:rPr>
        <w:t>2.  Materials and methods</w:t>
      </w:r>
    </w:p>
    <w:p w14:paraId="00F97DA0">
      <w:pPr>
        <w:pStyle w:val="15"/>
        <w:spacing w:after="0" w:line="240" w:lineRule="auto"/>
        <w:ind w:firstLine="0"/>
        <w:rPr>
          <w:b/>
          <w:bCs/>
          <w:sz w:val="20"/>
          <w:szCs w:val="20"/>
          <w:rtl/>
          <w:lang w:bidi="ar-EG"/>
        </w:rPr>
      </w:pPr>
      <w:r>
        <w:rPr>
          <w:b/>
          <w:bCs/>
          <w:sz w:val="20"/>
          <w:szCs w:val="20"/>
          <w:lang w:val="en-US" w:bidi="ar-EG"/>
        </w:rPr>
        <w:t>Synthesis of furfural derivatives:</w:t>
      </w:r>
    </w:p>
    <w:p w14:paraId="587E0C63">
      <w:pPr>
        <w:pStyle w:val="15"/>
        <w:spacing w:after="0" w:line="240" w:lineRule="auto"/>
        <w:ind w:firstLine="0"/>
        <w:rPr>
          <w:b/>
          <w:bCs/>
          <w:sz w:val="20"/>
          <w:szCs w:val="20"/>
          <w:lang w:val="en-US"/>
        </w:rPr>
      </w:pPr>
      <w:r>
        <w:rPr>
          <w:b/>
          <w:bCs/>
          <w:sz w:val="20"/>
          <w:szCs w:val="20"/>
          <w:lang w:bidi="ar-EG"/>
        </w:rPr>
        <w:t xml:space="preserve">    </w:t>
      </w:r>
      <w:r>
        <w:rPr>
          <w:sz w:val="20"/>
          <w:szCs w:val="20"/>
          <w:lang w:val="en-US"/>
        </w:rPr>
        <w:t xml:space="preserve">  Furfural derivatives were synthesized through a one-step condensation reaction using furfural as the starting material. All synthesized compounds belong to the class of Schiff bases. These compounds were selected due to their straightforward synthesis, cost-effectiveness, and rapid reaction kinetics. The Schiff base formation occurred readily at room temperature, with some reactions completing within minutes under ambient (cold) conditions, without the need for heating or complex catalysts, making the procedure both energy-efficient and environmentally friendly. </w:t>
      </w:r>
      <w:r>
        <w:rPr>
          <w:b/>
          <w:bCs/>
          <w:sz w:val="20"/>
          <w:szCs w:val="20"/>
          <w:lang w:val="en-US"/>
        </w:rPr>
        <w:t>[11]</w:t>
      </w:r>
    </w:p>
    <w:p w14:paraId="76AE0C83">
      <w:pPr>
        <w:pStyle w:val="15"/>
        <w:spacing w:after="0" w:line="240" w:lineRule="auto"/>
        <w:ind w:firstLine="0"/>
        <w:rPr>
          <w:b/>
          <w:bCs/>
          <w:sz w:val="20"/>
          <w:szCs w:val="20"/>
          <w:lang w:val="en-US"/>
        </w:rPr>
      </w:pPr>
      <w:r>
        <w:rPr>
          <w:b/>
          <w:bCs/>
          <w:sz w:val="20"/>
          <w:szCs w:val="20"/>
          <w:lang w:val="en-US"/>
        </w:rPr>
        <w:t>Structure investigation of the synthesized compounds:</w:t>
      </w:r>
    </w:p>
    <w:p w14:paraId="0E22FE52">
      <w:pPr>
        <w:pStyle w:val="15"/>
        <w:spacing w:after="0" w:line="240" w:lineRule="auto"/>
        <w:ind w:firstLine="0"/>
        <w:rPr>
          <w:sz w:val="20"/>
          <w:szCs w:val="20"/>
          <w:lang w:val="en-US"/>
        </w:rPr>
      </w:pPr>
      <w:r>
        <w:rPr>
          <w:sz w:val="20"/>
          <w:szCs w:val="20"/>
          <w:lang w:val="en-US"/>
        </w:rPr>
        <w:t xml:space="preserve">     The chemical structures of the synthesized compounds were confirmed using spectroscopic techniques, including Infrared (IR) Spectroscopy and Nuclear Magnetic Resonance (NMR) Spectroscopy. [12]).</w:t>
      </w:r>
      <w:r>
        <w:rPr>
          <w:b/>
          <w:bCs/>
          <w:sz w:val="20"/>
          <w:szCs w:val="20"/>
          <w:lang w:val="en-US"/>
        </w:rPr>
        <w:t xml:space="preserve"> </w:t>
      </w:r>
      <w:r>
        <w:rPr>
          <w:sz w:val="20"/>
          <w:szCs w:val="20"/>
          <w:lang w:val="en-US"/>
        </w:rPr>
        <w:t xml:space="preserve"> IR spectroscopy was employed to identify characteristic functional groups, particularly the imine (C=N) stretching vibrations indicative of Schiff base formation. Proton (^1H) and Carbon (^13C) NMR spectra were recorded to elucidate the structural framework and confirm the expected chemical shifts corresponding to the aromatic and imine protons, supporting the successful synthesis of the target compounds</w:t>
      </w:r>
      <w:r>
        <w:rPr>
          <w:b/>
          <w:bCs/>
          <w:sz w:val="20"/>
          <w:szCs w:val="20"/>
          <w:lang w:val="en-US"/>
        </w:rPr>
        <w:t>[13]</w:t>
      </w:r>
    </w:p>
    <w:p w14:paraId="66760CDC">
      <w:pPr>
        <w:pStyle w:val="15"/>
        <w:spacing w:after="0" w:line="240" w:lineRule="auto"/>
        <w:ind w:firstLine="0"/>
        <w:rPr>
          <w:sz w:val="20"/>
          <w:szCs w:val="20"/>
          <w:lang w:bidi="ar-EG"/>
        </w:rPr>
      </w:pPr>
    </w:p>
    <w:p w14:paraId="14481204">
      <w:pPr>
        <w:pStyle w:val="15"/>
        <w:spacing w:after="0" w:line="240" w:lineRule="auto"/>
        <w:ind w:firstLine="0"/>
        <w:rPr>
          <w:b/>
          <w:bCs/>
          <w:sz w:val="20"/>
          <w:szCs w:val="20"/>
          <w:lang w:val="en-US"/>
        </w:rPr>
      </w:pPr>
      <w:r>
        <w:rPr>
          <w:b/>
          <w:bCs/>
          <w:sz w:val="20"/>
          <w:szCs w:val="20"/>
          <w:lang w:val="en-US"/>
        </w:rPr>
        <w:t>Reaction procedure:</w:t>
      </w:r>
    </w:p>
    <w:p w14:paraId="10DDC8A4">
      <w:pPr>
        <w:pStyle w:val="15"/>
        <w:spacing w:after="0" w:line="240" w:lineRule="auto"/>
        <w:ind w:firstLine="0"/>
        <w:rPr>
          <w:sz w:val="20"/>
          <w:szCs w:val="20"/>
          <w:rtl/>
          <w:lang w:val="en-US"/>
        </w:rPr>
      </w:pPr>
      <w:r>
        <w:rPr>
          <w:sz w:val="20"/>
          <w:szCs w:val="20"/>
          <w:lang w:val="en-US"/>
        </w:rPr>
        <w:t xml:space="preserve">    Schiff bases were synthesized via a condensation reaction between furfural and various aromatic amine or active methylene compounds. Equimolar amounts (1:1 molar ratio) of furfural and the selected amine derivative were dissolved in ethanol and stirred at ambient temperature. The reaction progress was monitored by Thin Layer Chromatography (TLC). Upon completion, the resulting product was isolated by filtration, dried, and purified through recrystallization from ethanol. The general reaction scheme is depicted in Figure 1</w:t>
      </w:r>
      <w:r>
        <w:rPr>
          <w:b/>
          <w:bCs/>
          <w:sz w:val="20"/>
          <w:szCs w:val="20"/>
          <w:lang w:val="en-US"/>
        </w:rPr>
        <w:t>.</w:t>
      </w:r>
      <w:r>
        <w:rPr>
          <w:sz w:val="20"/>
          <w:szCs w:val="20"/>
          <w:lang w:val="en-US"/>
        </w:rPr>
        <w:t xml:space="preserve"> </w:t>
      </w:r>
      <w:r>
        <w:rPr>
          <w:b/>
          <w:bCs/>
          <w:sz w:val="20"/>
          <w:szCs w:val="20"/>
          <w:lang w:val="en-US"/>
        </w:rPr>
        <w:t>[14]</w:t>
      </w:r>
    </w:p>
    <w:p w14:paraId="313031CE">
      <w:pPr>
        <w:pStyle w:val="15"/>
        <w:spacing w:after="0" w:line="240" w:lineRule="auto"/>
        <w:rPr>
          <w:b/>
          <w:bCs/>
          <w:sz w:val="20"/>
          <w:szCs w:val="20"/>
          <w:lang w:val="en-US"/>
        </w:rPr>
      </w:pPr>
    </w:p>
    <w:p w14:paraId="20F377D1">
      <w:pPr>
        <w:pStyle w:val="15"/>
        <w:spacing w:after="0" w:line="240" w:lineRule="auto"/>
        <w:ind w:firstLine="0"/>
        <w:rPr>
          <w:b/>
          <w:bCs/>
          <w:sz w:val="20"/>
          <w:szCs w:val="20"/>
          <w:rtl/>
          <w:lang w:bidi="ar-EG"/>
        </w:rPr>
      </w:pPr>
      <w:r>
        <w:rPr>
          <w:b/>
          <w:bCs/>
          <w:sz w:val="20"/>
          <w:szCs w:val="20"/>
          <w:lang w:val="en-US"/>
        </w:rPr>
        <w:t>Nematode stock culture</w:t>
      </w:r>
    </w:p>
    <w:p w14:paraId="37484772">
      <w:pPr>
        <w:pStyle w:val="15"/>
        <w:spacing w:after="0" w:line="240" w:lineRule="auto"/>
        <w:ind w:firstLine="0"/>
        <w:rPr>
          <w:b/>
          <w:bCs/>
          <w:sz w:val="20"/>
          <w:szCs w:val="20"/>
          <w:lang w:val="en-US"/>
        </w:rPr>
      </w:pPr>
      <w:r>
        <w:rPr>
          <w:b/>
          <w:bCs/>
          <w:i/>
          <w:iCs/>
          <w:sz w:val="20"/>
          <w:szCs w:val="20"/>
          <w:lang w:val="en-US"/>
        </w:rPr>
        <w:t>Meloidogyne incognita</w:t>
      </w:r>
    </w:p>
    <w:p w14:paraId="05E7698A">
      <w:pPr>
        <w:pStyle w:val="15"/>
        <w:spacing w:after="0" w:line="240" w:lineRule="auto"/>
        <w:ind w:firstLine="0"/>
        <w:rPr>
          <w:sz w:val="20"/>
          <w:szCs w:val="20"/>
          <w:lang w:val="en-US"/>
        </w:rPr>
      </w:pPr>
      <w:r>
        <w:rPr>
          <w:b/>
          <w:bCs/>
          <w:sz w:val="20"/>
          <w:szCs w:val="20"/>
          <w:lang w:val="en-US"/>
        </w:rPr>
        <w:t xml:space="preserve">     </w:t>
      </w:r>
      <w:r>
        <w:rPr>
          <w:sz w:val="20"/>
          <w:szCs w:val="20"/>
          <w:lang w:val="en-US"/>
        </w:rPr>
        <w:t xml:space="preserve">A stock culture of </w:t>
      </w:r>
      <w:r>
        <w:rPr>
          <w:i/>
          <w:iCs/>
          <w:sz w:val="20"/>
          <w:szCs w:val="20"/>
          <w:lang w:val="en-US"/>
        </w:rPr>
        <w:t>Meloidogyne incognita</w:t>
      </w:r>
      <w:r>
        <w:rPr>
          <w:sz w:val="20"/>
          <w:szCs w:val="20"/>
          <w:lang w:val="en-US"/>
        </w:rPr>
        <w:t xml:space="preserve"> was established from a single, well-identified fresh egg mass originally isolated from </w:t>
      </w:r>
      <w:r>
        <w:rPr>
          <w:i/>
          <w:iCs/>
          <w:sz w:val="20"/>
          <w:szCs w:val="20"/>
          <w:lang w:val="en-US"/>
        </w:rPr>
        <w:t>Coleus blumei</w:t>
      </w:r>
      <w:r>
        <w:rPr>
          <w:sz w:val="20"/>
          <w:szCs w:val="20"/>
          <w:lang w:val="en-US"/>
        </w:rPr>
        <w:t xml:space="preserve"> roots infected with </w:t>
      </w:r>
      <w:r>
        <w:rPr>
          <w:i/>
          <w:iCs/>
          <w:sz w:val="20"/>
          <w:szCs w:val="20"/>
          <w:lang w:val="en-US"/>
        </w:rPr>
        <w:t>M. incognita</w:t>
      </w:r>
      <w:r>
        <w:rPr>
          <w:sz w:val="20"/>
          <w:szCs w:val="20"/>
          <w:lang w:val="en-US"/>
        </w:rPr>
        <w:t xml:space="preserve">. The infected plants were maintained under controlled conditions in the greenhouse of the Faculty of Agriculture, Benha University, Egypt. The pure culture of M. incognita was incubated under laboratory condition (25 ± 3 C,60± 10% RH) and used in all assays. </w:t>
      </w:r>
    </w:p>
    <w:p w14:paraId="06C349B1">
      <w:pPr>
        <w:pStyle w:val="15"/>
        <w:spacing w:after="0" w:line="240" w:lineRule="auto"/>
        <w:ind w:firstLine="0"/>
        <w:rPr>
          <w:sz w:val="20"/>
          <w:szCs w:val="20"/>
          <w:lang w:val="en-US"/>
        </w:rPr>
      </w:pPr>
    </w:p>
    <w:p w14:paraId="0CEECC58">
      <w:pPr>
        <w:pStyle w:val="15"/>
        <w:spacing w:after="0" w:line="240" w:lineRule="auto"/>
        <w:ind w:firstLine="0"/>
        <w:rPr>
          <w:sz w:val="20"/>
          <w:szCs w:val="20"/>
          <w:lang w:val="en-US"/>
        </w:rPr>
      </w:pPr>
    </w:p>
    <w:p w14:paraId="4021F28F">
      <w:pPr>
        <w:pStyle w:val="15"/>
        <w:spacing w:after="0" w:line="240" w:lineRule="auto"/>
        <w:ind w:firstLine="0"/>
        <w:rPr>
          <w:sz w:val="20"/>
          <w:szCs w:val="20"/>
          <w:lang w:val="en-US"/>
        </w:rPr>
      </w:pPr>
    </w:p>
    <w:p w14:paraId="71632054">
      <w:pPr>
        <w:pStyle w:val="15"/>
        <w:spacing w:after="0" w:line="240" w:lineRule="auto"/>
        <w:ind w:firstLine="0"/>
        <w:rPr>
          <w:sz w:val="20"/>
          <w:szCs w:val="20"/>
          <w:lang w:val="en-US"/>
        </w:rPr>
      </w:pPr>
    </w:p>
    <w:p w14:paraId="6E16A70C">
      <w:pPr>
        <w:pStyle w:val="15"/>
        <w:spacing w:after="0" w:line="240" w:lineRule="auto"/>
        <w:ind w:firstLine="0"/>
        <w:rPr>
          <w:sz w:val="20"/>
          <w:szCs w:val="20"/>
          <w:lang w:val="en-US"/>
        </w:rPr>
      </w:pPr>
    </w:p>
    <w:p w14:paraId="76136414">
      <w:pPr>
        <w:pStyle w:val="15"/>
        <w:spacing w:after="0" w:line="240" w:lineRule="auto"/>
        <w:ind w:firstLine="0"/>
        <w:rPr>
          <w:sz w:val="20"/>
          <w:szCs w:val="20"/>
          <w:lang w:val="en-US"/>
        </w:rPr>
      </w:pPr>
    </w:p>
    <w:p w14:paraId="6AE9B4EE">
      <w:pPr>
        <w:pStyle w:val="15"/>
        <w:spacing w:after="0" w:line="240" w:lineRule="auto"/>
        <w:ind w:firstLine="0"/>
        <w:rPr>
          <w:sz w:val="20"/>
          <w:szCs w:val="20"/>
          <w:lang w:val="en-US"/>
        </w:rPr>
      </w:pPr>
      <w:r>
        <w:rPr>
          <w:sz w:val="20"/>
          <w:szCs w:val="20"/>
          <w:lang w:val="en-US"/>
        </w:rPr>
        <w:t xml:space="preserve">The nematode culture was propagated and maintained on </w:t>
      </w:r>
      <w:r>
        <w:rPr>
          <w:i/>
          <w:iCs/>
          <w:sz w:val="20"/>
          <w:szCs w:val="20"/>
          <w:lang w:val="en-US"/>
        </w:rPr>
        <w:t>Coleus</w:t>
      </w:r>
      <w:r>
        <w:rPr>
          <w:sz w:val="20"/>
          <w:szCs w:val="20"/>
          <w:lang w:val="en-US"/>
        </w:rPr>
        <w:t xml:space="preserve"> plants to ensure purity and uniformity, and was used as the inoculum source for all experimental assays.</w:t>
      </w:r>
      <w:r>
        <w:rPr>
          <w:b/>
          <w:bCs/>
          <w:sz w:val="20"/>
          <w:szCs w:val="20"/>
          <w:lang w:val="en-US"/>
        </w:rPr>
        <w:t>[8]</w:t>
      </w:r>
    </w:p>
    <w:p w14:paraId="22CF0A78">
      <w:pPr>
        <w:pStyle w:val="15"/>
        <w:spacing w:after="0" w:line="240" w:lineRule="auto"/>
        <w:ind w:firstLine="0"/>
        <w:rPr>
          <w:b/>
          <w:bCs/>
          <w:sz w:val="20"/>
          <w:szCs w:val="20"/>
          <w:rtl/>
          <w:lang w:bidi="ar-EG"/>
        </w:rPr>
      </w:pPr>
      <w:r>
        <w:rPr>
          <w:b/>
          <w:bCs/>
          <w:i/>
          <w:iCs/>
          <w:sz w:val="20"/>
          <w:szCs w:val="20"/>
          <w:lang w:val="en-US"/>
        </w:rPr>
        <w:t>Tylenchulus semipenetrans</w:t>
      </w:r>
    </w:p>
    <w:p w14:paraId="7BD168BE">
      <w:pPr>
        <w:pStyle w:val="15"/>
        <w:spacing w:after="0" w:line="240" w:lineRule="auto"/>
        <w:ind w:firstLine="0"/>
        <w:rPr>
          <w:sz w:val="20"/>
          <w:szCs w:val="20"/>
          <w:lang w:val="en-US"/>
        </w:rPr>
      </w:pPr>
      <w:r>
        <w:rPr>
          <w:sz w:val="20"/>
          <w:szCs w:val="20"/>
          <w:lang w:val="en-US" w:bidi="ar-EG"/>
        </w:rPr>
        <w:t xml:space="preserve">       </w:t>
      </w:r>
      <w:r>
        <w:rPr>
          <w:sz w:val="20"/>
          <w:szCs w:val="20"/>
          <w:lang w:val="en-US"/>
        </w:rPr>
        <w:t xml:space="preserve">The stock culture of </w:t>
      </w:r>
      <w:r>
        <w:rPr>
          <w:i/>
          <w:iCs/>
          <w:sz w:val="20"/>
          <w:szCs w:val="20"/>
          <w:lang w:val="en-US"/>
        </w:rPr>
        <w:t>Tylenchulus semipenetrans</w:t>
      </w:r>
      <w:r>
        <w:rPr>
          <w:sz w:val="20"/>
          <w:szCs w:val="20"/>
          <w:lang w:val="en-US"/>
        </w:rPr>
        <w:t xml:space="preserve"> was similarly established from a single, well-identified fresh egg mass collected from infected citrus roots in a field located at the Faculty of Agriculture, Benha University, Egypt. the roots from soil samples was gently washed free of soil and was cut into 2cm long pieces, placed in plastic dishes with distilled water and incubated under laboratory condition  25 ± 3 C,60± 10% RH) and  blended at 3000rpm for 3 min to extract eggs from roots . The nematode was subsequently propagated on citrus plants in greenhouse conditions to maintain a pure and viable culture. This culture served as the source of nematodes for all experimental procedures. </w:t>
      </w:r>
      <w:r>
        <w:rPr>
          <w:b/>
          <w:bCs/>
          <w:sz w:val="20"/>
          <w:szCs w:val="20"/>
          <w:lang w:val="en-US"/>
        </w:rPr>
        <w:t>[15]</w:t>
      </w:r>
    </w:p>
    <w:p w14:paraId="2BAC4858">
      <w:pPr>
        <w:pStyle w:val="15"/>
        <w:spacing w:after="0" w:line="240" w:lineRule="auto"/>
        <w:ind w:firstLine="0"/>
        <w:rPr>
          <w:b/>
          <w:bCs/>
          <w:sz w:val="20"/>
          <w:szCs w:val="20"/>
          <w:lang w:val="en-US"/>
        </w:rPr>
      </w:pPr>
      <w:r>
        <w:rPr>
          <w:b/>
          <w:bCs/>
          <w:sz w:val="20"/>
          <w:szCs w:val="20"/>
          <w:lang w:val="en-US"/>
        </w:rPr>
        <w:t>Micro-well assays</w:t>
      </w:r>
    </w:p>
    <w:p w14:paraId="0B603376">
      <w:pPr>
        <w:pStyle w:val="15"/>
        <w:spacing w:after="0" w:line="240" w:lineRule="auto"/>
        <w:ind w:firstLine="0"/>
        <w:rPr>
          <w:sz w:val="20"/>
          <w:szCs w:val="20"/>
          <w:rtl/>
          <w:lang w:bidi="ar-EG"/>
        </w:rPr>
      </w:pPr>
      <w:r>
        <w:rPr>
          <w:sz w:val="20"/>
          <w:szCs w:val="20"/>
          <w:lang w:val="en-US"/>
        </w:rPr>
        <w:t xml:space="preserve">     Second-stage juveniles (J</w:t>
      </w:r>
      <w:r>
        <w:rPr>
          <w:sz w:val="20"/>
          <w:szCs w:val="20"/>
          <w:vertAlign w:val="subscript"/>
          <w:lang w:val="en-US"/>
        </w:rPr>
        <w:t>2</w:t>
      </w:r>
      <w:r>
        <w:rPr>
          <w:sz w:val="20"/>
          <w:szCs w:val="20"/>
          <w:lang w:val="en-US"/>
        </w:rPr>
        <w:t xml:space="preserve">) of </w:t>
      </w:r>
      <w:r>
        <w:rPr>
          <w:i/>
          <w:iCs/>
          <w:sz w:val="20"/>
          <w:szCs w:val="20"/>
          <w:lang w:val="en-US"/>
        </w:rPr>
        <w:t>Meloidogyne incognita</w:t>
      </w:r>
      <w:r>
        <w:rPr>
          <w:sz w:val="20"/>
          <w:szCs w:val="20"/>
          <w:lang w:val="en-US"/>
        </w:rPr>
        <w:t xml:space="preserve"> were prepared for the assays following the method described by </w:t>
      </w:r>
      <w:r>
        <w:rPr>
          <w:b/>
          <w:bCs/>
          <w:sz w:val="20"/>
          <w:szCs w:val="20"/>
          <w:lang w:val="en-US"/>
        </w:rPr>
        <w:t>[16].</w:t>
      </w:r>
      <w:r>
        <w:rPr>
          <w:sz w:val="20"/>
          <w:szCs w:val="20"/>
          <w:lang w:val="en-US"/>
        </w:rPr>
        <w:t xml:space="preserve"> Fresh egg masses were carefully collected from infected plant roots and initially suspended in tap water. The suspension was then rinsed three times with sterile deionized water (DIW) to ensure cleanliness. To obtain J</w:t>
      </w:r>
      <w:r>
        <w:rPr>
          <w:sz w:val="20"/>
          <w:szCs w:val="20"/>
          <w:vertAlign w:val="subscript"/>
          <w:lang w:val="en-US"/>
        </w:rPr>
        <w:t>2</w:t>
      </w:r>
      <w:r>
        <w:rPr>
          <w:sz w:val="20"/>
          <w:szCs w:val="20"/>
          <w:lang w:val="en-US"/>
        </w:rPr>
        <w:t>, the eggs were placed on a Baermann funnel setup and incubated at room temperature to allow hatching. After approximately 48 hours, hatched J</w:t>
      </w:r>
      <w:r>
        <w:rPr>
          <w:sz w:val="20"/>
          <w:szCs w:val="20"/>
          <w:vertAlign w:val="subscript"/>
          <w:lang w:val="en-US"/>
        </w:rPr>
        <w:t>2</w:t>
      </w:r>
      <w:r>
        <w:rPr>
          <w:sz w:val="20"/>
          <w:szCs w:val="20"/>
          <w:lang w:val="en-US"/>
        </w:rPr>
        <w:t xml:space="preserve"> were collected using 25 µm sieves and immediately used for the micro-well assay experiments.</w:t>
      </w:r>
    </w:p>
    <w:p w14:paraId="5D4920A8">
      <w:pPr>
        <w:pStyle w:val="15"/>
        <w:spacing w:after="0" w:line="240" w:lineRule="auto"/>
        <w:ind w:firstLine="0"/>
        <w:rPr>
          <w:b/>
          <w:bCs/>
          <w:sz w:val="20"/>
          <w:szCs w:val="20"/>
          <w:lang w:val="en-US"/>
        </w:rPr>
      </w:pPr>
      <w:r>
        <w:rPr>
          <w:b/>
          <w:bCs/>
          <w:sz w:val="20"/>
          <w:szCs w:val="20"/>
          <w:lang w:val="en-US"/>
        </w:rPr>
        <w:t>Bioassay setup</w:t>
      </w:r>
    </w:p>
    <w:p w14:paraId="779F94FE">
      <w:pPr>
        <w:pStyle w:val="15"/>
        <w:spacing w:after="0" w:line="240" w:lineRule="auto"/>
        <w:ind w:firstLine="0"/>
        <w:rPr>
          <w:b/>
          <w:bCs/>
          <w:sz w:val="20"/>
          <w:szCs w:val="20"/>
          <w:lang w:val="en-US"/>
        </w:rPr>
      </w:pPr>
      <w:r>
        <w:rPr>
          <w:b/>
          <w:bCs/>
          <w:sz w:val="20"/>
          <w:szCs w:val="20"/>
          <w:lang w:val="en-US"/>
        </w:rPr>
        <w:t xml:space="preserve">      </w:t>
      </w:r>
      <w:r>
        <w:rPr>
          <w:sz w:val="20"/>
          <w:szCs w:val="20"/>
          <w:lang w:val="en-US"/>
        </w:rPr>
        <w:t xml:space="preserve">Bioassays were conducted using 24-well flat-bottom plates, following a procedure similar to that described by </w:t>
      </w:r>
      <w:r>
        <w:rPr>
          <w:b/>
          <w:bCs/>
          <w:sz w:val="20"/>
          <w:szCs w:val="20"/>
          <w:lang w:val="en-US"/>
        </w:rPr>
        <w:t>[17].</w:t>
      </w:r>
      <w:r>
        <w:rPr>
          <w:sz w:val="20"/>
          <w:szCs w:val="20"/>
          <w:lang w:val="en-US"/>
        </w:rPr>
        <w:t xml:space="preserve"> Previously hatched second-stage juveniles (J</w:t>
      </w:r>
      <w:r>
        <w:rPr>
          <w:sz w:val="20"/>
          <w:szCs w:val="20"/>
          <w:vertAlign w:val="subscript"/>
          <w:lang w:val="en-US"/>
        </w:rPr>
        <w:t>2</w:t>
      </w:r>
      <w:r>
        <w:rPr>
          <w:sz w:val="20"/>
          <w:szCs w:val="20"/>
          <w:lang w:val="en-US"/>
        </w:rPr>
        <w:t xml:space="preserve">) of </w:t>
      </w:r>
      <w:r>
        <w:rPr>
          <w:i/>
          <w:iCs/>
          <w:sz w:val="20"/>
          <w:szCs w:val="20"/>
          <w:lang w:val="en-US"/>
        </w:rPr>
        <w:t>Meloidogyne incognita</w:t>
      </w:r>
      <w:r>
        <w:rPr>
          <w:sz w:val="20"/>
          <w:szCs w:val="20"/>
          <w:lang w:val="en-US"/>
        </w:rPr>
        <w:t xml:space="preserve"> were introduced into individual wells for treatment.</w:t>
      </w:r>
    </w:p>
    <w:p w14:paraId="3C62492C">
      <w:pPr>
        <w:pStyle w:val="15"/>
        <w:spacing w:after="0" w:line="240" w:lineRule="auto"/>
        <w:ind w:firstLine="0"/>
        <w:rPr>
          <w:sz w:val="20"/>
          <w:szCs w:val="20"/>
          <w:rtl/>
          <w:lang w:bidi="ar-EG"/>
        </w:rPr>
      </w:pPr>
    </w:p>
    <w:p w14:paraId="590398DB">
      <w:pPr>
        <w:pStyle w:val="15"/>
        <w:spacing w:after="0" w:line="240" w:lineRule="auto"/>
        <w:ind w:firstLine="0"/>
        <w:rPr>
          <w:sz w:val="20"/>
          <w:szCs w:val="20"/>
          <w:rtl/>
          <w:lang w:bidi="ar-EG"/>
        </w:rPr>
      </w:pPr>
      <w:r>
        <w:rPr>
          <w:b/>
          <w:bCs/>
          <w:sz w:val="20"/>
          <w:szCs w:val="20"/>
          <w:lang w:val="en-US"/>
        </w:rPr>
        <w:t>Preparation of Test Solutions and Compounds</w:t>
      </w:r>
    </w:p>
    <w:p w14:paraId="7A0C00B1">
      <w:pPr>
        <w:pStyle w:val="15"/>
        <w:spacing w:after="0" w:line="240" w:lineRule="auto"/>
        <w:ind w:firstLine="0"/>
        <w:rPr>
          <w:sz w:val="20"/>
          <w:szCs w:val="20"/>
          <w:lang w:val="en-US"/>
        </w:rPr>
      </w:pPr>
      <w:r>
        <w:rPr>
          <w:sz w:val="20"/>
          <w:szCs w:val="20"/>
          <w:lang w:val="en-US" w:bidi="ar-EG"/>
        </w:rPr>
        <w:t xml:space="preserve">    </w:t>
      </w:r>
      <w:r>
        <w:rPr>
          <w:sz w:val="20"/>
          <w:szCs w:val="20"/>
          <w:lang w:val="en-US"/>
        </w:rPr>
        <w:t xml:space="preserve">  Each test solution was prepared by dissolving 0.1 g of the active compound in 2 mL of dimethyl sulfoxide (DMSO), and the volume was brought up to 1000 mL using sterile deionized water (DIW). This stock solution was considered the 100% concentration. The compounds tested included the following furfural-derived Schiff bases:</w:t>
      </w:r>
    </w:p>
    <w:p w14:paraId="39837F29">
      <w:pPr>
        <w:pStyle w:val="15"/>
        <w:numPr>
          <w:ilvl w:val="0"/>
          <w:numId w:val="1"/>
        </w:numPr>
        <w:spacing w:after="0" w:line="240" w:lineRule="auto"/>
        <w:jc w:val="left"/>
        <w:rPr>
          <w:sz w:val="20"/>
          <w:szCs w:val="20"/>
          <w:lang w:val="en-US"/>
        </w:rPr>
      </w:pPr>
      <w:r>
        <w:rPr>
          <w:sz w:val="20"/>
          <w:szCs w:val="20"/>
          <w:lang w:val="en-US"/>
        </w:rPr>
        <w:t>2-(Furan-2ylmethylene)malononitrile</w:t>
      </w:r>
    </w:p>
    <w:p w14:paraId="04B2214A">
      <w:pPr>
        <w:pStyle w:val="15"/>
        <w:numPr>
          <w:ilvl w:val="0"/>
          <w:numId w:val="1"/>
        </w:numPr>
        <w:spacing w:after="0" w:line="240" w:lineRule="auto"/>
        <w:jc w:val="left"/>
        <w:rPr>
          <w:sz w:val="20"/>
          <w:szCs w:val="20"/>
          <w:lang w:val="en-US"/>
        </w:rPr>
      </w:pPr>
      <w:r>
        <w:rPr>
          <w:sz w:val="20"/>
          <w:szCs w:val="20"/>
          <w:lang w:val="en-US"/>
        </w:rPr>
        <w:t>1-(Furan-2-ylmethylene)-2-phenylhydrazine</w:t>
      </w:r>
    </w:p>
    <w:p w14:paraId="40B3BBBF">
      <w:pPr>
        <w:pStyle w:val="15"/>
        <w:numPr>
          <w:ilvl w:val="0"/>
          <w:numId w:val="1"/>
        </w:numPr>
        <w:spacing w:after="0" w:line="240" w:lineRule="auto"/>
        <w:jc w:val="left"/>
        <w:rPr>
          <w:sz w:val="20"/>
          <w:szCs w:val="20"/>
          <w:lang w:val="en-US"/>
        </w:rPr>
      </w:pPr>
      <w:r>
        <w:rPr>
          <w:sz w:val="20"/>
          <w:szCs w:val="20"/>
          <w:lang w:val="en-US"/>
        </w:rPr>
        <w:t>1-(4-Bromophenyl)-2-(furan-2-ylmethylene)hydrazine</w:t>
      </w:r>
    </w:p>
    <w:p w14:paraId="4A365A24">
      <w:pPr>
        <w:pStyle w:val="15"/>
        <w:numPr>
          <w:ilvl w:val="0"/>
          <w:numId w:val="1"/>
        </w:numPr>
        <w:spacing w:after="0" w:line="240" w:lineRule="auto"/>
        <w:jc w:val="left"/>
        <w:rPr>
          <w:sz w:val="20"/>
          <w:szCs w:val="20"/>
          <w:lang w:val="en-US"/>
        </w:rPr>
      </w:pPr>
      <w:r>
        <w:rPr>
          <w:sz w:val="20"/>
          <w:szCs w:val="20"/>
          <w:lang w:val="en-US"/>
        </w:rPr>
        <w:t>2-(Furan-2-ylmethylene)hydrazine-1-carbothioamide</w:t>
      </w:r>
    </w:p>
    <w:p w14:paraId="222CE30F">
      <w:pPr>
        <w:pStyle w:val="15"/>
        <w:numPr>
          <w:ilvl w:val="0"/>
          <w:numId w:val="1"/>
        </w:numPr>
        <w:spacing w:after="0" w:line="240" w:lineRule="auto"/>
        <w:jc w:val="left"/>
        <w:rPr>
          <w:sz w:val="20"/>
          <w:szCs w:val="20"/>
          <w:lang w:val="en-US"/>
        </w:rPr>
      </w:pPr>
      <w:r>
        <w:rPr>
          <w:sz w:val="20"/>
          <w:szCs w:val="20"/>
          <w:lang w:val="en-US"/>
        </w:rPr>
        <w:t>4-(2-(Furan-2-ylmethylene)hydrazine)benzoic acid</w:t>
      </w:r>
    </w:p>
    <w:p w14:paraId="2F0F70F8">
      <w:pPr>
        <w:pStyle w:val="15"/>
        <w:numPr>
          <w:ilvl w:val="0"/>
          <w:numId w:val="1"/>
        </w:numPr>
        <w:spacing w:after="0" w:line="240" w:lineRule="auto"/>
        <w:jc w:val="left"/>
        <w:rPr>
          <w:sz w:val="20"/>
          <w:szCs w:val="20"/>
          <w:lang w:val="en-US"/>
        </w:rPr>
      </w:pPr>
      <w:r>
        <w:rPr>
          <w:sz w:val="20"/>
          <w:szCs w:val="20"/>
          <w:lang w:val="en-US"/>
        </w:rPr>
        <w:t>2-(2-(Furan-2-ylmethylene)hydrazine)phenol</w:t>
      </w:r>
    </w:p>
    <w:p w14:paraId="71F192A1">
      <w:pPr>
        <w:pStyle w:val="15"/>
        <w:spacing w:after="0" w:line="240" w:lineRule="auto"/>
        <w:rPr>
          <w:sz w:val="20"/>
          <w:szCs w:val="20"/>
          <w:lang w:val="en-US"/>
        </w:rPr>
      </w:pPr>
      <w:r>
        <w:rPr>
          <w:sz w:val="20"/>
          <w:szCs w:val="20"/>
          <w:lang w:val="en-US"/>
        </w:rPr>
        <w:t xml:space="preserve"> </w:t>
      </w:r>
    </w:p>
    <w:p w14:paraId="365B4B2D">
      <w:pPr>
        <w:pStyle w:val="15"/>
        <w:spacing w:after="0" w:line="240" w:lineRule="auto"/>
        <w:rPr>
          <w:sz w:val="20"/>
          <w:szCs w:val="20"/>
          <w:lang w:val="en-US"/>
        </w:rPr>
      </w:pPr>
    </w:p>
    <w:p w14:paraId="675FBB63">
      <w:pPr>
        <w:pStyle w:val="15"/>
        <w:spacing w:after="0" w:line="240" w:lineRule="auto"/>
        <w:rPr>
          <w:sz w:val="20"/>
          <w:szCs w:val="20"/>
          <w:lang w:val="en-US"/>
        </w:rPr>
      </w:pPr>
    </w:p>
    <w:p w14:paraId="5EA4AE16">
      <w:pPr>
        <w:pStyle w:val="15"/>
        <w:spacing w:after="0" w:line="240" w:lineRule="auto"/>
        <w:rPr>
          <w:sz w:val="20"/>
          <w:szCs w:val="20"/>
          <w:lang w:val="en-US"/>
        </w:rPr>
      </w:pPr>
    </w:p>
    <w:p w14:paraId="6EB77C1F">
      <w:pPr>
        <w:pStyle w:val="15"/>
        <w:spacing w:after="0" w:line="240" w:lineRule="auto"/>
        <w:rPr>
          <w:sz w:val="20"/>
          <w:szCs w:val="20"/>
          <w:lang w:val="en-US"/>
        </w:rPr>
      </w:pPr>
    </w:p>
    <w:p w14:paraId="7E6DAE9C">
      <w:pPr>
        <w:pStyle w:val="15"/>
        <w:spacing w:after="0" w:line="240" w:lineRule="auto"/>
        <w:rPr>
          <w:b/>
          <w:bCs/>
          <w:sz w:val="20"/>
          <w:szCs w:val="20"/>
          <w:lang w:val="en-US"/>
        </w:rPr>
      </w:pPr>
      <w:r>
        <w:rPr>
          <w:sz w:val="20"/>
          <w:szCs w:val="20"/>
          <w:lang w:val="en-US"/>
        </w:rPr>
        <w:t xml:space="preserve">  These solutions were used to evaluate the nematicidal activity of the synthesized compounds under controlled laboratory conditions.</w:t>
      </w:r>
    </w:p>
    <w:p w14:paraId="50D092AD">
      <w:pPr>
        <w:pStyle w:val="15"/>
        <w:spacing w:after="0" w:line="240" w:lineRule="auto"/>
        <w:ind w:firstLine="0"/>
        <w:rPr>
          <w:b/>
          <w:bCs/>
          <w:sz w:val="20"/>
          <w:szCs w:val="20"/>
          <w:lang w:val="en-US"/>
        </w:rPr>
      </w:pPr>
      <w:r>
        <w:rPr>
          <w:b/>
          <w:bCs/>
          <w:sz w:val="20"/>
          <w:szCs w:val="20"/>
          <w:lang w:val="en-US"/>
        </w:rPr>
        <w:t>Application of treatments and experimental design</w:t>
      </w:r>
    </w:p>
    <w:p w14:paraId="1EDB4A3F">
      <w:pPr>
        <w:pStyle w:val="15"/>
        <w:spacing w:after="0" w:line="240" w:lineRule="auto"/>
        <w:ind w:firstLine="0"/>
        <w:rPr>
          <w:b/>
          <w:bCs/>
          <w:sz w:val="20"/>
          <w:szCs w:val="20"/>
          <w:lang w:val="en-US"/>
        </w:rPr>
      </w:pPr>
      <w:r>
        <w:rPr>
          <w:sz w:val="20"/>
          <w:szCs w:val="20"/>
          <w:lang w:val="en-US"/>
        </w:rPr>
        <w:t xml:space="preserve">    Various concentrations of each furfural-derived compound were tested to evaluate their nematicide activity. For treatment application, each well received 0.5 mL of a double-concentrated furfural derivative solution (or DMSO as a control) and 0.5 mL of a </w:t>
      </w:r>
      <w:r>
        <w:rPr>
          <w:i/>
          <w:iCs/>
          <w:sz w:val="20"/>
          <w:szCs w:val="20"/>
          <w:lang w:val="en-US"/>
        </w:rPr>
        <w:t>Meloidogyne incognita</w:t>
      </w:r>
      <w:r>
        <w:rPr>
          <w:sz w:val="20"/>
          <w:szCs w:val="20"/>
          <w:lang w:val="en-US"/>
        </w:rPr>
        <w:t xml:space="preserve"> suspension containing approximately 300 freshly hatched second-stage juveniles (J</w:t>
      </w:r>
      <w:r>
        <w:rPr>
          <w:sz w:val="20"/>
          <w:szCs w:val="20"/>
          <w:vertAlign w:val="subscript"/>
          <w:lang w:val="en-US"/>
        </w:rPr>
        <w:t>2</w:t>
      </w:r>
      <w:r>
        <w:rPr>
          <w:sz w:val="20"/>
          <w:szCs w:val="20"/>
          <w:lang w:val="en-US"/>
        </w:rPr>
        <w:t>). This resulted in a final treatment volume of 1 mL per well and yielded the desired concentrations of 0%, 0.375%, 0.75%, and 1.5% for each compound</w:t>
      </w:r>
      <w:r>
        <w:rPr>
          <w:b/>
          <w:bCs/>
          <w:sz w:val="20"/>
          <w:szCs w:val="20"/>
          <w:lang w:val="en-US"/>
        </w:rPr>
        <w:t>. .[8]</w:t>
      </w:r>
    </w:p>
    <w:p w14:paraId="1ABA18BF">
      <w:pPr>
        <w:pStyle w:val="15"/>
        <w:spacing w:after="0" w:line="240" w:lineRule="auto"/>
        <w:ind w:firstLine="0"/>
        <w:rPr>
          <w:b/>
          <w:bCs/>
          <w:sz w:val="20"/>
          <w:szCs w:val="20"/>
          <w:lang w:val="en-US"/>
        </w:rPr>
      </w:pPr>
      <w:r>
        <w:rPr>
          <w:sz w:val="20"/>
          <w:szCs w:val="20"/>
          <w:lang w:val="en-US"/>
        </w:rPr>
        <w:t xml:space="preserve">      The 24-well plates were incubated at 25 °C under controlled conditions. Four wells were used for each treatment concentration per trial, and the entire experiment was independently repeated twice, resulting in a total sample size of </w:t>
      </w:r>
      <w:r>
        <w:rPr>
          <w:i/>
          <w:iCs/>
          <w:sz w:val="20"/>
          <w:szCs w:val="20"/>
          <w:lang w:val="en-US"/>
        </w:rPr>
        <w:t>n</w:t>
      </w:r>
      <w:r>
        <w:rPr>
          <w:sz w:val="20"/>
          <w:szCs w:val="20"/>
          <w:lang w:val="en-US"/>
        </w:rPr>
        <w:t xml:space="preserve"> = 8 for each treatment group. </w:t>
      </w:r>
      <w:r>
        <w:rPr>
          <w:b/>
          <w:bCs/>
          <w:sz w:val="20"/>
          <w:szCs w:val="20"/>
          <w:lang w:val="en-US"/>
        </w:rPr>
        <w:t>[17]</w:t>
      </w:r>
    </w:p>
    <w:p w14:paraId="70540C82">
      <w:pPr>
        <w:pStyle w:val="15"/>
        <w:spacing w:after="0" w:line="240" w:lineRule="auto"/>
        <w:ind w:firstLine="0"/>
        <w:rPr>
          <w:b/>
          <w:bCs/>
          <w:sz w:val="20"/>
          <w:szCs w:val="20"/>
          <w:lang w:val="en-US"/>
        </w:rPr>
      </w:pPr>
      <w:r>
        <w:rPr>
          <w:sz w:val="20"/>
          <w:szCs w:val="20"/>
          <w:lang w:val="en-US"/>
        </w:rPr>
        <w:t xml:space="preserve">        Nematode viability was assessed at multiple time intervals: 1 minute, 30 minutes, 1 hour, 2 hours, 12 hours, 18 hours, 24 hours, and 48 hours after exposure. At each time point, the total number of J</w:t>
      </w:r>
      <w:r>
        <w:rPr>
          <w:sz w:val="20"/>
          <w:szCs w:val="20"/>
          <w:vertAlign w:val="subscript"/>
          <w:lang w:val="en-US"/>
        </w:rPr>
        <w:t>2</w:t>
      </w:r>
      <w:r>
        <w:rPr>
          <w:sz w:val="20"/>
          <w:szCs w:val="20"/>
          <w:lang w:val="en-US"/>
        </w:rPr>
        <w:t xml:space="preserve"> and the number of active (motile) versus inactive (non-motile) individuals were recorded to determine mortality and behavioral response to treatment. After nematodes have been extracted from soil or plant , was counted and identified to genus level using a counting slide for species identification with a dissecting microscope. </w:t>
      </w:r>
      <w:r>
        <w:rPr>
          <w:b/>
          <w:bCs/>
          <w:sz w:val="20"/>
          <w:szCs w:val="20"/>
          <w:lang w:val="en-US"/>
        </w:rPr>
        <w:t>[18]</w:t>
      </w:r>
    </w:p>
    <w:p w14:paraId="39429A3E">
      <w:pPr>
        <w:pStyle w:val="15"/>
        <w:spacing w:after="0" w:line="240" w:lineRule="auto"/>
        <w:ind w:firstLine="0"/>
        <w:rPr>
          <w:sz w:val="20"/>
          <w:szCs w:val="20"/>
          <w:lang w:val="en-US"/>
        </w:rPr>
      </w:pPr>
      <w:r>
        <w:rPr>
          <w:b/>
          <w:bCs/>
          <w:sz w:val="20"/>
          <w:szCs w:val="20"/>
          <w:lang w:val="en-US"/>
        </w:rPr>
        <w:t>Confirmation of Juvenile Mortality</w:t>
      </w:r>
    </w:p>
    <w:p w14:paraId="4B240F8B">
      <w:pPr>
        <w:pStyle w:val="15"/>
        <w:spacing w:after="0" w:line="240" w:lineRule="auto"/>
        <w:ind w:firstLine="0"/>
        <w:rPr>
          <w:sz w:val="20"/>
          <w:szCs w:val="20"/>
          <w:lang w:val="en-US"/>
        </w:rPr>
      </w:pPr>
      <w:r>
        <w:rPr>
          <w:sz w:val="20"/>
          <w:szCs w:val="20"/>
          <w:lang w:val="en-US"/>
        </w:rPr>
        <w:t xml:space="preserve">     At the end of the experiment, to confirm juvenile mortality, one drop of freshly prepared 1.0 mol L⁻¹ sodium hydroxide (NaOH) solution was added to each well, following the method described </w:t>
      </w:r>
      <w:r>
        <w:rPr>
          <w:b/>
          <w:bCs/>
          <w:sz w:val="20"/>
          <w:szCs w:val="20"/>
          <w:lang w:val="en-US"/>
        </w:rPr>
        <w:t>[19]</w:t>
      </w:r>
      <w:r>
        <w:rPr>
          <w:sz w:val="20"/>
          <w:szCs w:val="20"/>
          <w:lang w:val="en-US"/>
        </w:rPr>
        <w:t>. Immobile juveniles were recounted within two minutes of NaOH application. Juveniles that remained unresponsive were considered dead, ensuring accurate mortality assessment and minimizing the possibility of false negatives due to temporary immobilization.</w:t>
      </w:r>
    </w:p>
    <w:p w14:paraId="715AE423">
      <w:pPr>
        <w:pStyle w:val="15"/>
        <w:spacing w:after="0" w:line="240" w:lineRule="auto"/>
        <w:ind w:firstLine="0"/>
        <w:rPr>
          <w:b/>
          <w:bCs/>
          <w:sz w:val="20"/>
          <w:szCs w:val="20"/>
          <w:lang w:val="en-US"/>
        </w:rPr>
      </w:pPr>
      <w:r>
        <w:rPr>
          <w:b/>
          <w:bCs/>
          <w:sz w:val="20"/>
          <w:szCs w:val="20"/>
          <w:lang w:val="en-US"/>
        </w:rPr>
        <w:t>Statistical analysis:</w:t>
      </w:r>
    </w:p>
    <w:p w14:paraId="09F61E78">
      <w:pPr>
        <w:pStyle w:val="15"/>
        <w:spacing w:after="0" w:line="240" w:lineRule="auto"/>
        <w:ind w:firstLine="0"/>
        <w:rPr>
          <w:sz w:val="20"/>
          <w:szCs w:val="20"/>
          <w:lang w:val="en-US" w:bidi="ar-EG"/>
        </w:rPr>
      </w:pPr>
      <w:r>
        <w:rPr>
          <w:b/>
          <w:bCs/>
          <w:sz w:val="20"/>
          <w:szCs w:val="20"/>
          <w:lang w:val="en-US" w:bidi="ar-EG"/>
        </w:rPr>
        <w:t xml:space="preserve">  </w:t>
      </w:r>
      <w:r>
        <w:rPr>
          <w:b/>
          <w:bCs/>
          <w:sz w:val="20"/>
          <w:szCs w:val="20"/>
          <w:lang w:bidi="ar-EG"/>
        </w:rPr>
        <w:t xml:space="preserve">  S</w:t>
      </w:r>
      <w:r>
        <w:rPr>
          <w:sz w:val="20"/>
          <w:szCs w:val="20"/>
          <w:lang w:bidi="ar-EG"/>
        </w:rPr>
        <w:t xml:space="preserve">tatistical analyses were performed using SPSS software, version 12.0.1 (SPSS Inc., Chicago, IL, USA). Data were expressed as means ± standard error (SE). Differences between treatment groups were evaluated using Tukey’s Honestly Significant Difference (HSD) test to determine statistically significant variations among means. A </w:t>
      </w:r>
      <w:r>
        <w:rPr>
          <w:i/>
          <w:iCs/>
          <w:sz w:val="20"/>
          <w:szCs w:val="20"/>
          <w:lang w:bidi="ar-EG"/>
        </w:rPr>
        <w:t>p</w:t>
      </w:r>
      <w:r>
        <w:rPr>
          <w:sz w:val="20"/>
          <w:szCs w:val="20"/>
          <w:lang w:bidi="ar-EG"/>
        </w:rPr>
        <w:t>-value of less than 0.05 was considered indicative of statistical significance.</w:t>
      </w:r>
    </w:p>
    <w:p w14:paraId="4569BE05">
      <w:pPr>
        <w:pStyle w:val="18"/>
        <w:spacing w:before="0" w:after="0" w:line="240" w:lineRule="auto"/>
        <w:rPr>
          <w:sz w:val="20"/>
          <w:szCs w:val="20"/>
          <w:lang w:val="en-US"/>
        </w:rPr>
      </w:pPr>
      <w:r>
        <w:rPr>
          <w:sz w:val="20"/>
          <w:szCs w:val="20"/>
          <w:lang w:val="en-US"/>
        </w:rPr>
        <w:t>3. Results</w:t>
      </w:r>
    </w:p>
    <w:p w14:paraId="6F52114F">
      <w:pPr>
        <w:pStyle w:val="15"/>
        <w:spacing w:line="240" w:lineRule="auto"/>
        <w:ind w:right="-167" w:firstLine="0"/>
        <w:rPr>
          <w:b/>
          <w:bCs/>
          <w:sz w:val="20"/>
          <w:szCs w:val="20"/>
          <w:lang w:val="en-US"/>
        </w:rPr>
      </w:pPr>
      <w:bookmarkStart w:id="0" w:name="_Toc131155523"/>
      <w:r>
        <w:rPr>
          <w:b/>
          <w:bCs/>
          <w:sz w:val="20"/>
          <w:szCs w:val="20"/>
          <w:lang w:val="en-US"/>
        </w:rPr>
        <w:t>Synthesized furfural derivatives</w:t>
      </w:r>
    </w:p>
    <w:p w14:paraId="5AC07B69">
      <w:pPr>
        <w:pStyle w:val="15"/>
        <w:spacing w:line="240" w:lineRule="auto"/>
        <w:ind w:right="-167" w:firstLine="0"/>
        <w:rPr>
          <w:b/>
          <w:bCs/>
          <w:sz w:val="20"/>
          <w:szCs w:val="20"/>
          <w:lang w:val="en-US"/>
        </w:rPr>
      </w:pPr>
      <w:r>
        <w:rPr>
          <w:sz w:val="20"/>
          <w:szCs w:val="20"/>
          <w:lang w:val="en-US"/>
        </w:rPr>
        <w:t xml:space="preserve"> Six organic compounds were synthesized from furfural and are expected to exhibit notable biological activity. Structural confirmation was performed using Fourier Transform Infrared Spectroscopy (FT-IR) and Proton Nuclear Magnetic Resonance (^1H NMR) spectroscopy. The analytical data for two representative compounds are presented below:</w:t>
      </w:r>
    </w:p>
    <w:p w14:paraId="6F118415">
      <w:pPr>
        <w:pStyle w:val="15"/>
        <w:spacing w:line="240" w:lineRule="auto"/>
        <w:ind w:right="-167" w:firstLine="0"/>
        <w:rPr>
          <w:sz w:val="20"/>
          <w:szCs w:val="20"/>
          <w:lang w:val="en-US"/>
        </w:rPr>
      </w:pPr>
      <w:r>
        <w:rPr>
          <w:b/>
          <w:bCs/>
          <w:sz w:val="20"/>
          <w:szCs w:val="20"/>
          <w:lang w:val="en-US"/>
        </w:rPr>
        <w:t xml:space="preserve">     </w:t>
      </w:r>
      <w:r>
        <w:rPr>
          <w:sz w:val="20"/>
          <w:szCs w:val="20"/>
          <w:lang w:val="en-US"/>
        </w:rPr>
        <w:t>2-(furan-2-ylmethylene)malononitrile (FM): FT-IR (KBr pellet) at  3123,3041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=CH</w:t>
      </w:r>
      <w:r>
        <w:rPr>
          <w:sz w:val="20"/>
          <w:szCs w:val="20"/>
          <w:lang w:val="en-US"/>
        </w:rPr>
        <w:t>), 2224 (</w:t>
      </w:r>
      <w:r>
        <w:rPr>
          <w:sz w:val="20"/>
          <w:szCs w:val="20"/>
          <w:lang w:val="en-US"/>
        </w:rPr>
        <w:sym w:font="Symbol" w:char="F06E"/>
      </w:r>
      <w:r>
        <w:rPr>
          <w:sz w:val="20"/>
          <w:szCs w:val="20"/>
          <w:vertAlign w:val="subscript"/>
          <w:lang w:val="en-US"/>
        </w:rPr>
        <w:t>C</w:t>
      </w:r>
      <m:oMath>
        <m:r>
          <m:rPr/>
          <w:rPr>
            <w:rFonts w:ascii="Cambria Math" w:hAnsi="Cambria Math"/>
            <w:sz w:val="20"/>
            <w:szCs w:val="20"/>
            <w:vertAlign w:val="subscript"/>
            <w:lang w:val="en-US"/>
          </w:rPr>
          <m:t>≡</m:t>
        </m:r>
      </m:oMath>
      <w:r>
        <w:rPr>
          <w:sz w:val="20"/>
          <w:szCs w:val="20"/>
          <w:vertAlign w:val="subscript"/>
          <w:lang w:val="en-US"/>
        </w:rPr>
        <w:t>N</w:t>
      </w:r>
      <w:r>
        <w:rPr>
          <w:sz w:val="20"/>
          <w:szCs w:val="20"/>
          <w:lang w:val="en-US"/>
        </w:rPr>
        <w:t>) and 1603,1569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C=C</w:t>
      </w:r>
      <w:r>
        <w:rPr>
          <w:sz w:val="20"/>
          <w:szCs w:val="20"/>
          <w:lang w:val="en-US"/>
        </w:rPr>
        <w:t xml:space="preserve">).[Figure 2], </w:t>
      </w:r>
      <w:r>
        <w:rPr>
          <w:sz w:val="20"/>
          <w:szCs w:val="20"/>
          <w:vertAlign w:val="superscript"/>
          <w:lang w:val="pt-BR"/>
        </w:rPr>
        <w:t>1</w:t>
      </w:r>
      <w:r>
        <w:rPr>
          <w:sz w:val="20"/>
          <w:szCs w:val="20"/>
          <w:lang w:val="pt-BR"/>
        </w:rPr>
        <w:t>H NMR-400 MHz, d ppm:</w:t>
      </w:r>
      <w:r>
        <w:rPr>
          <w:sz w:val="20"/>
          <w:szCs w:val="20"/>
          <w:lang w:val="en-US"/>
        </w:rPr>
        <w:t xml:space="preserve"> </w:t>
      </w:r>
      <w:r>
        <w:rPr>
          <w:sz w:val="20"/>
          <w:szCs w:val="20"/>
          <w:rtl/>
          <w:lang w:eastAsia="ar-SA"/>
        </w:rPr>
        <w:t>6</w:t>
      </w:r>
      <w:r>
        <w:rPr>
          <w:sz w:val="20"/>
          <w:szCs w:val="20"/>
          <w:lang w:val="en-US"/>
        </w:rPr>
        <w:t>.</w:t>
      </w:r>
      <w:r>
        <w:rPr>
          <w:sz w:val="20"/>
          <w:szCs w:val="20"/>
          <w:rtl/>
          <w:lang w:eastAsia="ar-SA"/>
        </w:rPr>
        <w:t>90</w:t>
      </w:r>
      <w:r>
        <w:rPr>
          <w:sz w:val="20"/>
          <w:szCs w:val="20"/>
          <w:lang w:val="en-US"/>
        </w:rPr>
        <w:t xml:space="preserve"> (</w:t>
      </w:r>
      <w:r>
        <w:rPr>
          <w:sz w:val="20"/>
          <w:szCs w:val="20"/>
          <w:rtl/>
          <w:lang w:eastAsia="ar-SA"/>
        </w:rPr>
        <w:t>1</w:t>
      </w:r>
      <w:r>
        <w:rPr>
          <w:sz w:val="20"/>
          <w:szCs w:val="20"/>
          <w:lang w:val="en-US"/>
        </w:rPr>
        <w:t>H, [</w:t>
      </w:r>
      <w:r>
        <w:rPr>
          <w:sz w:val="20"/>
          <w:szCs w:val="20"/>
          <w:rtl/>
          <w:lang w:eastAsia="ar-SA"/>
        </w:rPr>
        <w:t>=</w:t>
      </w:r>
      <w:r>
        <w:rPr>
          <w:sz w:val="20"/>
          <w:szCs w:val="20"/>
          <w:u w:val="single"/>
          <w:lang w:val="en-US"/>
        </w:rPr>
        <w:t>CH</w:t>
      </w:r>
      <w:r>
        <w:rPr>
          <w:sz w:val="20"/>
          <w:szCs w:val="20"/>
          <w:rtl/>
          <w:lang w:eastAsia="ar-SA"/>
        </w:rPr>
        <w:t>-</w:t>
      </w:r>
      <w:r>
        <w:rPr>
          <w:sz w:val="20"/>
          <w:szCs w:val="20"/>
          <w:lang w:val="en-US"/>
        </w:rPr>
        <w:t>O]), 7.44(1H, [(CN)</w:t>
      </w:r>
      <w:r>
        <w:rPr>
          <w:sz w:val="20"/>
          <w:szCs w:val="20"/>
          <w:vertAlign w:val="subscript"/>
          <w:lang w:val="en-US"/>
        </w:rPr>
        <w:t>2</w:t>
      </w:r>
      <w:r>
        <w:rPr>
          <w:sz w:val="20"/>
          <w:szCs w:val="20"/>
          <w:lang w:val="en-US"/>
        </w:rPr>
        <w:t>-C=</w:t>
      </w:r>
      <w:r>
        <w:rPr>
          <w:sz w:val="20"/>
          <w:szCs w:val="20"/>
          <w:u w:val="single"/>
          <w:lang w:val="en-US"/>
        </w:rPr>
        <w:t>CH</w:t>
      </w:r>
      <w:r>
        <w:rPr>
          <w:sz w:val="20"/>
          <w:szCs w:val="20"/>
          <w:lang w:val="en-US"/>
        </w:rPr>
        <w:t xml:space="preserve">], 8.28 (2H, </w:t>
      </w:r>
      <w:r>
        <w:rPr>
          <w:sz w:val="20"/>
          <w:szCs w:val="20"/>
          <w:u w:val="single"/>
          <w:lang w:val="en-US"/>
        </w:rPr>
        <w:t>[=CH-CH=]</w:t>
      </w:r>
      <w:r>
        <w:rPr>
          <w:sz w:val="20"/>
          <w:szCs w:val="20"/>
          <w:lang w:val="en-US"/>
        </w:rPr>
        <w:t>). [Figure 3]</w:t>
      </w:r>
    </w:p>
    <w:p w14:paraId="73CE3CC8">
      <w:pPr>
        <w:pStyle w:val="15"/>
        <w:spacing w:line="240" w:lineRule="auto"/>
        <w:ind w:right="-167" w:firstLine="0"/>
        <w:rPr>
          <w:sz w:val="20"/>
          <w:szCs w:val="20"/>
          <w:lang w:val="en-US"/>
        </w:rPr>
      </w:pPr>
      <w:r>
        <w:rPr>
          <w:sz w:val="20"/>
          <w:szCs w:val="20"/>
          <w:lang w:val="en-US"/>
        </w:rPr>
        <w:t xml:space="preserve">       1-(furan-2-ylmethylene)-2-phenylhydrazine (FZ): FT-IR (KBr pellet) at = 3318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NH</w:t>
      </w:r>
      <w:r>
        <w:rPr>
          <w:sz w:val="20"/>
          <w:szCs w:val="20"/>
          <w:lang w:val="en-US"/>
        </w:rPr>
        <w:t>), 3148, 3114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=CH</w:t>
      </w:r>
      <w:r>
        <w:rPr>
          <w:sz w:val="20"/>
          <w:szCs w:val="20"/>
          <w:lang w:val="en-US"/>
        </w:rPr>
        <w:t>) and 1598 (</w:t>
      </w:r>
      <w:r>
        <w:rPr>
          <w:sz w:val="20"/>
          <w:szCs w:val="20"/>
          <w:lang w:val="en-US"/>
        </w:rPr>
        <w:sym w:font="Symbol" w:char="F06E"/>
      </w:r>
      <w:r>
        <w:rPr>
          <w:sz w:val="20"/>
          <w:szCs w:val="20"/>
          <w:vertAlign w:val="subscript"/>
          <w:lang w:val="en-US"/>
        </w:rPr>
        <w:t>C=N</w:t>
      </w:r>
      <w:r>
        <w:rPr>
          <w:sz w:val="20"/>
          <w:szCs w:val="20"/>
          <w:lang w:val="en-US"/>
        </w:rPr>
        <w:t xml:space="preserve">). [Figure 4], </w:t>
      </w:r>
      <w:r>
        <w:rPr>
          <w:sz w:val="20"/>
          <w:szCs w:val="20"/>
          <w:vertAlign w:val="superscript"/>
          <w:lang w:val="pt-BR"/>
        </w:rPr>
        <w:t>1</w:t>
      </w:r>
      <w:r>
        <w:rPr>
          <w:sz w:val="20"/>
          <w:szCs w:val="20"/>
          <w:lang w:val="pt-BR"/>
        </w:rPr>
        <w:t>H NMR-400 MHz, d ppm:</w:t>
      </w:r>
      <w:r>
        <w:rPr>
          <w:sz w:val="20"/>
          <w:szCs w:val="20"/>
          <w:lang w:val="en-US"/>
        </w:rPr>
        <w:t xml:space="preserve"> </w:t>
      </w:r>
      <w:r>
        <w:rPr>
          <w:sz w:val="20"/>
          <w:szCs w:val="20"/>
          <w:rtl/>
          <w:lang w:eastAsia="ar-SA"/>
        </w:rPr>
        <w:t>6</w:t>
      </w:r>
      <w:r>
        <w:rPr>
          <w:sz w:val="20"/>
          <w:szCs w:val="20"/>
          <w:lang w:val="en-US"/>
        </w:rPr>
        <w:t>.</w:t>
      </w:r>
      <w:r>
        <w:rPr>
          <w:sz w:val="20"/>
          <w:szCs w:val="20"/>
          <w:rtl/>
          <w:lang w:eastAsia="ar-SA"/>
        </w:rPr>
        <w:t>90</w:t>
      </w:r>
      <w:r>
        <w:rPr>
          <w:sz w:val="20"/>
          <w:szCs w:val="20"/>
          <w:lang w:val="en-US"/>
        </w:rPr>
        <w:t>(</w:t>
      </w:r>
      <w:r>
        <w:rPr>
          <w:sz w:val="20"/>
          <w:szCs w:val="20"/>
          <w:rtl/>
          <w:lang w:eastAsia="ar-SA"/>
        </w:rPr>
        <w:t>1</w:t>
      </w:r>
      <w:r>
        <w:rPr>
          <w:sz w:val="20"/>
          <w:szCs w:val="20"/>
          <w:lang w:val="en-US"/>
        </w:rPr>
        <w:t>H, [</w:t>
      </w:r>
      <w:r>
        <w:rPr>
          <w:sz w:val="20"/>
          <w:szCs w:val="20"/>
          <w:rtl/>
          <w:lang w:eastAsia="ar-SA"/>
        </w:rPr>
        <w:t>=</w:t>
      </w:r>
      <w:r>
        <w:rPr>
          <w:sz w:val="20"/>
          <w:szCs w:val="20"/>
          <w:u w:val="single"/>
          <w:lang w:val="en-US"/>
        </w:rPr>
        <w:t>CH</w:t>
      </w:r>
      <w:r>
        <w:rPr>
          <w:sz w:val="20"/>
          <w:szCs w:val="20"/>
          <w:rtl/>
          <w:lang w:eastAsia="ar-SA"/>
        </w:rPr>
        <w:t>-</w:t>
      </w:r>
      <w:r>
        <w:rPr>
          <w:sz w:val="20"/>
          <w:szCs w:val="20"/>
          <w:lang w:val="en-US"/>
        </w:rPr>
        <w:t>O]), 7.12, 7.14 (5H, [Ph], 7.18(NH-C=</w:t>
      </w:r>
      <w:r>
        <w:rPr>
          <w:sz w:val="20"/>
          <w:szCs w:val="20"/>
          <w:u w:val="single"/>
          <w:lang w:val="en-US"/>
        </w:rPr>
        <w:t>CH</w:t>
      </w:r>
      <w:r>
        <w:rPr>
          <w:sz w:val="20"/>
          <w:szCs w:val="20"/>
          <w:lang w:val="en-US"/>
        </w:rPr>
        <w:t xml:space="preserve">], 7.71, 7.88 (2H, </w:t>
      </w:r>
      <w:r>
        <w:rPr>
          <w:sz w:val="20"/>
          <w:szCs w:val="20"/>
          <w:u w:val="single"/>
          <w:lang w:val="en-US"/>
        </w:rPr>
        <w:t>[=CH-CH=]</w:t>
      </w:r>
      <w:r>
        <w:rPr>
          <w:sz w:val="20"/>
          <w:szCs w:val="20"/>
          <w:lang w:val="en-US"/>
        </w:rPr>
        <w:t>), 10.26 (1H, [Ph-</w:t>
      </w:r>
      <w:r>
        <w:rPr>
          <w:sz w:val="20"/>
          <w:szCs w:val="20"/>
          <w:u w:val="single"/>
          <w:lang w:val="en-US"/>
        </w:rPr>
        <w:t>NH-]</w:t>
      </w:r>
      <w:r>
        <w:rPr>
          <w:sz w:val="20"/>
          <w:szCs w:val="20"/>
          <w:lang w:val="en-US"/>
        </w:rPr>
        <w:t>). [Figure 5]</w:t>
      </w:r>
    </w:p>
    <w:p w14:paraId="5D5AF55D">
      <w:pPr>
        <w:pStyle w:val="15"/>
        <w:spacing w:line="240" w:lineRule="auto"/>
        <w:ind w:right="-167" w:firstLine="0"/>
        <w:rPr>
          <w:sz w:val="20"/>
          <w:szCs w:val="20"/>
          <w:rtl/>
          <w:lang w:val="en-US" w:bidi="ar-EG"/>
        </w:rPr>
      </w:pPr>
      <w:r>
        <w:rPr>
          <w:sz w:val="20"/>
          <w:szCs w:val="20"/>
          <w:lang w:val="en-US"/>
        </w:rPr>
        <w:t xml:space="preserve">       1-(4-bromophenyl)-2-(furan-2-ylmethylene)hydrazine (FB): FT-IR (KBr pellet) at = 3344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NH</w:t>
      </w:r>
      <w:r>
        <w:rPr>
          <w:sz w:val="20"/>
          <w:szCs w:val="20"/>
          <w:lang w:val="en-US"/>
        </w:rPr>
        <w:t>), 3141, 3004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=CH</w:t>
      </w:r>
      <w:r>
        <w:rPr>
          <w:sz w:val="20"/>
          <w:szCs w:val="20"/>
          <w:lang w:val="en-US"/>
        </w:rPr>
        <w:t>), 1633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C=N</w:t>
      </w:r>
      <w:r>
        <w:rPr>
          <w:sz w:val="20"/>
          <w:szCs w:val="20"/>
          <w:lang w:val="en-US"/>
        </w:rPr>
        <w:t>) and 1588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C=C</w:t>
      </w:r>
      <w:r>
        <w:rPr>
          <w:sz w:val="20"/>
          <w:szCs w:val="20"/>
          <w:lang w:val="en-US"/>
        </w:rPr>
        <w:t xml:space="preserve">). [Figure 6], 1H NMR-400 MHz, d ppm: </w:t>
      </w:r>
      <w:r>
        <w:rPr>
          <w:sz w:val="20"/>
          <w:szCs w:val="20"/>
          <w:rtl/>
          <w:lang w:eastAsia="ar-SA"/>
        </w:rPr>
        <w:t>6</w:t>
      </w:r>
      <w:r>
        <w:rPr>
          <w:sz w:val="20"/>
          <w:szCs w:val="20"/>
          <w:lang w:val="en-US"/>
        </w:rPr>
        <w:t>.49(</w:t>
      </w:r>
      <w:r>
        <w:rPr>
          <w:sz w:val="20"/>
          <w:szCs w:val="20"/>
          <w:rtl/>
          <w:lang w:eastAsia="ar-SA"/>
        </w:rPr>
        <w:t>1</w:t>
      </w:r>
      <w:r>
        <w:rPr>
          <w:sz w:val="20"/>
          <w:szCs w:val="20"/>
          <w:lang w:val="en-US"/>
        </w:rPr>
        <w:t>H, [</w:t>
      </w:r>
      <w:r>
        <w:rPr>
          <w:sz w:val="20"/>
          <w:szCs w:val="20"/>
          <w:rtl/>
          <w:lang w:eastAsia="ar-SA"/>
        </w:rPr>
        <w:t>=</w:t>
      </w:r>
      <w:r>
        <w:rPr>
          <w:sz w:val="20"/>
          <w:szCs w:val="20"/>
          <w:lang w:val="en-US"/>
        </w:rPr>
        <w:t>CH</w:t>
      </w:r>
      <w:r>
        <w:rPr>
          <w:sz w:val="20"/>
          <w:szCs w:val="20"/>
          <w:rtl/>
          <w:lang w:eastAsia="ar-SA"/>
        </w:rPr>
        <w:t>-</w:t>
      </w:r>
      <w:r>
        <w:rPr>
          <w:sz w:val="20"/>
          <w:szCs w:val="20"/>
          <w:lang w:val="en-US"/>
        </w:rPr>
        <w:t>O]), 6.51-7.14 (5H, [Ph]), 7.18(NH-C=CH], 7.47 (2H, [=CH-CH=]), 7.55 (1H, [Ph-NH-]). [Figure 7]</w:t>
      </w:r>
    </w:p>
    <w:p w14:paraId="376BAB24">
      <w:pPr>
        <w:pStyle w:val="15"/>
        <w:spacing w:line="240" w:lineRule="auto"/>
        <w:ind w:right="-167" w:firstLine="0"/>
        <w:rPr>
          <w:sz w:val="20"/>
          <w:szCs w:val="20"/>
          <w:lang w:val="en-US"/>
        </w:rPr>
      </w:pPr>
      <w:r>
        <w:rPr>
          <w:sz w:val="20"/>
          <w:szCs w:val="20"/>
          <w:lang w:bidi="ar-EG"/>
        </w:rPr>
        <w:t xml:space="preserve">       </w:t>
      </w:r>
      <w:r>
        <w:rPr>
          <w:sz w:val="20"/>
          <w:szCs w:val="20"/>
          <w:lang w:val="en-US"/>
        </w:rPr>
        <w:t>2-(furan-2-ylmethylene)hydrazine-1-carbothioamide (FC)</w:t>
      </w:r>
      <w:r>
        <w:rPr>
          <w:sz w:val="20"/>
          <w:szCs w:val="20"/>
          <w:rtl/>
          <w:lang w:bidi="ar-EG"/>
        </w:rPr>
        <w:t>:</w:t>
      </w:r>
      <w:r>
        <w:rPr>
          <w:sz w:val="20"/>
          <w:szCs w:val="20"/>
          <w:lang w:val="en-US"/>
        </w:rPr>
        <w:t xml:space="preserve"> FT-IR (KBr pellet) at = 3410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NH</w:t>
      </w:r>
      <w:r>
        <w:rPr>
          <w:sz w:val="20"/>
          <w:szCs w:val="20"/>
          <w:lang w:val="en-US"/>
        </w:rPr>
        <w:t>), 3134, 3015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=CH</w:t>
      </w:r>
      <w:r>
        <w:rPr>
          <w:sz w:val="20"/>
          <w:szCs w:val="20"/>
          <w:lang w:val="en-US"/>
        </w:rPr>
        <w:t>), 1608 cm</w:t>
      </w:r>
      <w:r>
        <w:rPr>
          <w:sz w:val="20"/>
          <w:szCs w:val="20"/>
          <w:vertAlign w:val="superscript"/>
          <w:lang w:val="en-US"/>
        </w:rPr>
        <w:t xml:space="preserve">-1 </w:t>
      </w:r>
      <w:r>
        <w:rPr>
          <w:sz w:val="20"/>
          <w:szCs w:val="20"/>
          <w:lang w:val="en-US"/>
        </w:rPr>
        <w:t>(</w:t>
      </w:r>
      <w:r>
        <w:rPr>
          <w:sz w:val="20"/>
          <w:szCs w:val="20"/>
          <w:lang w:val="en-US"/>
        </w:rPr>
        <w:sym w:font="Symbol" w:char="F06E"/>
      </w:r>
      <w:r>
        <w:rPr>
          <w:sz w:val="20"/>
          <w:szCs w:val="20"/>
          <w:vertAlign w:val="subscript"/>
          <w:lang w:val="en-US"/>
        </w:rPr>
        <w:t>C=N)</w:t>
      </w:r>
      <w:r>
        <w:rPr>
          <w:sz w:val="20"/>
          <w:szCs w:val="20"/>
          <w:lang w:val="en-US"/>
        </w:rPr>
        <w:t>, 1581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C=C)</w:t>
      </w:r>
      <w:r>
        <w:rPr>
          <w:sz w:val="20"/>
          <w:szCs w:val="20"/>
          <w:lang w:val="en-US"/>
        </w:rPr>
        <w:t xml:space="preserve">. [Figure 8], </w:t>
      </w:r>
      <w:r>
        <w:rPr>
          <w:sz w:val="20"/>
          <w:szCs w:val="20"/>
          <w:vertAlign w:val="superscript"/>
          <w:lang w:val="pt-BR"/>
        </w:rPr>
        <w:t>1</w:t>
      </w:r>
      <w:r>
        <w:rPr>
          <w:sz w:val="20"/>
          <w:szCs w:val="20"/>
          <w:lang w:val="pt-BR"/>
        </w:rPr>
        <w:t>H NMR-400 MHz, d ppm:</w:t>
      </w:r>
      <w:r>
        <w:rPr>
          <w:sz w:val="20"/>
          <w:szCs w:val="20"/>
          <w:lang w:val="en-US"/>
        </w:rPr>
        <w:t xml:space="preserve"> </w:t>
      </w:r>
      <w:r>
        <w:rPr>
          <w:sz w:val="20"/>
          <w:szCs w:val="20"/>
          <w:rtl/>
          <w:lang w:eastAsia="ar-SA"/>
        </w:rPr>
        <w:t>6</w:t>
      </w:r>
      <w:r>
        <w:rPr>
          <w:sz w:val="20"/>
          <w:szCs w:val="20"/>
          <w:lang w:val="en-US"/>
        </w:rPr>
        <w:t>.61(</w:t>
      </w:r>
      <w:r>
        <w:rPr>
          <w:sz w:val="20"/>
          <w:szCs w:val="20"/>
          <w:rtl/>
          <w:lang w:eastAsia="ar-SA"/>
        </w:rPr>
        <w:t>1</w:t>
      </w:r>
      <w:r>
        <w:rPr>
          <w:sz w:val="20"/>
          <w:szCs w:val="20"/>
          <w:lang w:val="en-US"/>
        </w:rPr>
        <w:t>H, [</w:t>
      </w:r>
      <w:r>
        <w:rPr>
          <w:sz w:val="20"/>
          <w:szCs w:val="20"/>
          <w:rtl/>
          <w:lang w:eastAsia="ar-SA"/>
        </w:rPr>
        <w:t>=</w:t>
      </w:r>
      <w:r>
        <w:rPr>
          <w:sz w:val="20"/>
          <w:szCs w:val="20"/>
          <w:u w:val="single"/>
          <w:lang w:val="en-US"/>
        </w:rPr>
        <w:t>CH</w:t>
      </w:r>
      <w:r>
        <w:rPr>
          <w:sz w:val="20"/>
          <w:szCs w:val="20"/>
          <w:rtl/>
          <w:lang w:eastAsia="ar-SA"/>
        </w:rPr>
        <w:t>-</w:t>
      </w:r>
      <w:r>
        <w:rPr>
          <w:sz w:val="20"/>
          <w:szCs w:val="20"/>
          <w:lang w:val="en-US"/>
        </w:rPr>
        <w:t>O]), 7.96 (1H, NH-C=</w:t>
      </w:r>
      <w:r>
        <w:rPr>
          <w:sz w:val="20"/>
          <w:szCs w:val="20"/>
          <w:u w:val="single"/>
          <w:lang w:val="en-US"/>
        </w:rPr>
        <w:t>CH</w:t>
      </w:r>
      <w:r>
        <w:rPr>
          <w:sz w:val="20"/>
          <w:szCs w:val="20"/>
          <w:lang w:val="en-US"/>
        </w:rPr>
        <w:t>]), 7.61, 7.80 (2H, [-</w:t>
      </w:r>
      <w:r>
        <w:rPr>
          <w:sz w:val="20"/>
          <w:szCs w:val="20"/>
          <w:u w:val="single"/>
          <w:lang w:val="en-US"/>
        </w:rPr>
        <w:t>NH</w:t>
      </w:r>
      <w:r>
        <w:rPr>
          <w:sz w:val="20"/>
          <w:szCs w:val="20"/>
          <w:vertAlign w:val="subscript"/>
          <w:lang w:val="en-US"/>
        </w:rPr>
        <w:t>2</w:t>
      </w:r>
      <w:r>
        <w:rPr>
          <w:sz w:val="20"/>
          <w:szCs w:val="20"/>
          <w:lang w:val="en-US"/>
        </w:rPr>
        <w:t>])</w:t>
      </w:r>
      <w:r>
        <w:rPr>
          <w:sz w:val="20"/>
          <w:szCs w:val="20"/>
          <w:vertAlign w:val="subscript"/>
          <w:lang w:val="en-US"/>
        </w:rPr>
        <w:t xml:space="preserve">, </w:t>
      </w:r>
      <w:r>
        <w:rPr>
          <w:sz w:val="20"/>
          <w:szCs w:val="20"/>
          <w:lang w:val="en-US"/>
        </w:rPr>
        <w:t xml:space="preserve">7.96, 8.20 (2H, </w:t>
      </w:r>
      <w:r>
        <w:rPr>
          <w:sz w:val="20"/>
          <w:szCs w:val="20"/>
          <w:u w:val="single"/>
          <w:lang w:val="en-US"/>
        </w:rPr>
        <w:t>[=CH-CH=]</w:t>
      </w:r>
      <w:r>
        <w:rPr>
          <w:sz w:val="20"/>
          <w:szCs w:val="20"/>
          <w:lang w:val="en-US"/>
        </w:rPr>
        <w:t>), 11.41 (1H, [-</w:t>
      </w:r>
      <w:r>
        <w:rPr>
          <w:sz w:val="20"/>
          <w:szCs w:val="20"/>
          <w:u w:val="single"/>
          <w:lang w:val="en-US"/>
        </w:rPr>
        <w:t>NH-]</w:t>
      </w:r>
      <w:r>
        <w:rPr>
          <w:sz w:val="20"/>
          <w:szCs w:val="20"/>
          <w:lang w:val="en-US"/>
        </w:rPr>
        <w:t>). [Figure 9]</w:t>
      </w:r>
    </w:p>
    <w:p w14:paraId="65663354">
      <w:pPr>
        <w:pStyle w:val="15"/>
        <w:spacing w:line="240" w:lineRule="auto"/>
        <w:ind w:right="-167" w:firstLine="0"/>
        <w:rPr>
          <w:sz w:val="20"/>
          <w:szCs w:val="20"/>
          <w:lang w:val="en-US"/>
        </w:rPr>
      </w:pPr>
      <w:r>
        <w:rPr>
          <w:sz w:val="20"/>
          <w:szCs w:val="20"/>
          <w:lang w:val="en-US"/>
        </w:rPr>
        <w:t xml:space="preserve">     4-(2-(furan-2-ylmethylene)hydrazinyl)benzoic acid (FO)</w:t>
      </w:r>
      <w:r>
        <w:rPr>
          <w:sz w:val="20"/>
          <w:szCs w:val="20"/>
          <w:rtl/>
          <w:lang w:bidi="ar-EG"/>
        </w:rPr>
        <w:t>:</w:t>
      </w:r>
      <w:r>
        <w:rPr>
          <w:sz w:val="20"/>
          <w:szCs w:val="20"/>
          <w:lang w:val="en-US"/>
        </w:rPr>
        <w:t xml:space="preserve"> FT-IR (KBr pellet) at = 3347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NH</w:t>
      </w:r>
      <w:r>
        <w:rPr>
          <w:sz w:val="20"/>
          <w:szCs w:val="20"/>
          <w:lang w:val="en-US"/>
        </w:rPr>
        <w:t>), 3500-2250 cm</w:t>
      </w:r>
      <w:r>
        <w:rPr>
          <w:sz w:val="20"/>
          <w:szCs w:val="20"/>
          <w:vertAlign w:val="superscript"/>
          <w:lang w:val="en-US"/>
        </w:rPr>
        <w:t>-1</w:t>
      </w:r>
      <w:r>
        <w:rPr>
          <w:sz w:val="20"/>
          <w:szCs w:val="20"/>
          <w:lang w:val="en-US"/>
        </w:rPr>
        <w:t xml:space="preserve"> (broad band of </w:t>
      </w:r>
      <w:r>
        <w:rPr>
          <w:sz w:val="20"/>
          <w:szCs w:val="20"/>
          <w:lang w:val="en-US"/>
        </w:rPr>
        <w:sym w:font="Symbol" w:char="F06E"/>
      </w:r>
      <w:r>
        <w:rPr>
          <w:sz w:val="20"/>
          <w:szCs w:val="20"/>
          <w:vertAlign w:val="subscript"/>
          <w:lang w:val="en-US"/>
        </w:rPr>
        <w:t>OH carboxylic</w:t>
      </w:r>
      <w:r>
        <w:rPr>
          <w:sz w:val="20"/>
          <w:szCs w:val="20"/>
          <w:lang w:val="en-US"/>
        </w:rPr>
        <w:t>),  1667 cm</w:t>
      </w:r>
      <w:r>
        <w:rPr>
          <w:sz w:val="20"/>
          <w:szCs w:val="20"/>
          <w:vertAlign w:val="superscript"/>
          <w:lang w:val="en-US"/>
        </w:rPr>
        <w:t xml:space="preserve">-1 </w:t>
      </w:r>
      <w:r>
        <w:rPr>
          <w:sz w:val="20"/>
          <w:szCs w:val="20"/>
          <w:lang w:val="en-US"/>
        </w:rPr>
        <w:t>(</w:t>
      </w:r>
      <w:r>
        <w:rPr>
          <w:sz w:val="20"/>
          <w:szCs w:val="20"/>
          <w:lang w:val="en-US"/>
        </w:rPr>
        <w:sym w:font="Symbol" w:char="F06E"/>
      </w:r>
      <w:r>
        <w:rPr>
          <w:sz w:val="20"/>
          <w:szCs w:val="20"/>
          <w:vertAlign w:val="subscript"/>
          <w:lang w:val="en-US"/>
        </w:rPr>
        <w:t>C=O)</w:t>
      </w:r>
      <w:r>
        <w:rPr>
          <w:sz w:val="20"/>
          <w:szCs w:val="20"/>
          <w:lang w:val="en-US"/>
        </w:rPr>
        <w:t>, 1598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C=C)</w:t>
      </w:r>
      <w:r>
        <w:rPr>
          <w:sz w:val="20"/>
          <w:szCs w:val="20"/>
          <w:lang w:val="en-US"/>
        </w:rPr>
        <w:t xml:space="preserve">. [Figure 10], </w:t>
      </w:r>
      <w:r>
        <w:rPr>
          <w:sz w:val="20"/>
          <w:szCs w:val="20"/>
          <w:vertAlign w:val="superscript"/>
          <w:lang w:val="en-US"/>
        </w:rPr>
        <w:t>1</w:t>
      </w:r>
      <w:r>
        <w:rPr>
          <w:sz w:val="20"/>
          <w:szCs w:val="20"/>
          <w:lang w:val="en-US"/>
        </w:rPr>
        <w:t xml:space="preserve">H NMR-400 MHz, d ppm: </w:t>
      </w:r>
      <w:r>
        <w:rPr>
          <w:sz w:val="20"/>
          <w:szCs w:val="20"/>
          <w:rtl/>
          <w:lang w:eastAsia="ar-SA"/>
        </w:rPr>
        <w:t>6</w:t>
      </w:r>
      <w:r>
        <w:rPr>
          <w:sz w:val="20"/>
          <w:szCs w:val="20"/>
          <w:lang w:val="en-US"/>
        </w:rPr>
        <w:t>.78 (</w:t>
      </w:r>
      <w:r>
        <w:rPr>
          <w:sz w:val="20"/>
          <w:szCs w:val="20"/>
          <w:rtl/>
          <w:lang w:eastAsia="ar-SA"/>
        </w:rPr>
        <w:t>1</w:t>
      </w:r>
      <w:r>
        <w:rPr>
          <w:sz w:val="20"/>
          <w:szCs w:val="20"/>
          <w:lang w:val="en-US"/>
        </w:rPr>
        <w:t>H, [</w:t>
      </w:r>
      <w:r>
        <w:rPr>
          <w:sz w:val="20"/>
          <w:szCs w:val="20"/>
          <w:rtl/>
          <w:lang w:eastAsia="ar-SA"/>
        </w:rPr>
        <w:t>=</w:t>
      </w:r>
      <w:r>
        <w:rPr>
          <w:sz w:val="20"/>
          <w:szCs w:val="20"/>
          <w:lang w:val="en-US"/>
        </w:rPr>
        <w:t>CH</w:t>
      </w:r>
      <w:r>
        <w:rPr>
          <w:sz w:val="20"/>
          <w:szCs w:val="20"/>
          <w:rtl/>
          <w:lang w:eastAsia="ar-SA"/>
        </w:rPr>
        <w:t>-</w:t>
      </w:r>
      <w:r>
        <w:rPr>
          <w:sz w:val="20"/>
          <w:szCs w:val="20"/>
          <w:lang w:val="en-US"/>
        </w:rPr>
        <w:t>O]), 6.78, 7.37 (5H, [Ph]), 6.94 (1H, [NH-C=</w:t>
      </w:r>
      <w:r>
        <w:rPr>
          <w:sz w:val="20"/>
          <w:szCs w:val="20"/>
          <w:u w:val="single"/>
          <w:lang w:val="en-US"/>
        </w:rPr>
        <w:t>CH</w:t>
      </w:r>
      <w:r>
        <w:rPr>
          <w:sz w:val="20"/>
          <w:szCs w:val="20"/>
          <w:lang w:val="en-US"/>
        </w:rPr>
        <w:t>], 6.91, 7.01 (2H, [=CH-CH=]), 8.38 (1H, [Ph-NH-]), 12.18 (1H, -COO</w:t>
      </w:r>
      <w:r>
        <w:rPr>
          <w:sz w:val="20"/>
          <w:szCs w:val="20"/>
          <w:u w:val="single"/>
          <w:lang w:val="en-US"/>
        </w:rPr>
        <w:t>H</w:t>
      </w:r>
      <w:r>
        <w:rPr>
          <w:sz w:val="20"/>
          <w:szCs w:val="20"/>
          <w:lang w:val="en-US"/>
        </w:rPr>
        <w:t>])&gt; [Figure 11]</w:t>
      </w:r>
    </w:p>
    <w:p w14:paraId="68DE7BBA">
      <w:pPr>
        <w:pStyle w:val="15"/>
        <w:spacing w:line="240" w:lineRule="auto"/>
        <w:ind w:right="-167" w:firstLine="0"/>
        <w:rPr>
          <w:sz w:val="20"/>
          <w:szCs w:val="20"/>
          <w:lang w:val="en-US"/>
        </w:rPr>
      </w:pPr>
      <w:r>
        <w:rPr>
          <w:sz w:val="20"/>
          <w:szCs w:val="20"/>
          <w:lang w:val="en-US"/>
        </w:rPr>
        <w:t xml:space="preserve">      2-(2-(furan-2-ylmethylene)hydrazinyl)phenol (FP): FT-IR (KBr pellet) at = 3335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NH</w:t>
      </w:r>
      <w:r>
        <w:rPr>
          <w:sz w:val="20"/>
          <w:szCs w:val="20"/>
          <w:lang w:val="en-US"/>
        </w:rPr>
        <w:t>), 3500-2250 cm</w:t>
      </w:r>
      <w:r>
        <w:rPr>
          <w:sz w:val="20"/>
          <w:szCs w:val="20"/>
          <w:vertAlign w:val="superscript"/>
          <w:lang w:val="en-US"/>
        </w:rPr>
        <w:t>-1</w:t>
      </w:r>
      <w:r>
        <w:rPr>
          <w:sz w:val="20"/>
          <w:szCs w:val="20"/>
          <w:lang w:val="en-US"/>
        </w:rPr>
        <w:t xml:space="preserve"> (broad band of </w:t>
      </w:r>
      <w:r>
        <w:rPr>
          <w:sz w:val="20"/>
          <w:szCs w:val="20"/>
          <w:lang w:val="en-US"/>
        </w:rPr>
        <w:sym w:font="Symbol" w:char="F06E"/>
      </w:r>
      <w:r>
        <w:rPr>
          <w:sz w:val="20"/>
          <w:szCs w:val="20"/>
          <w:vertAlign w:val="subscript"/>
          <w:lang w:val="en-US"/>
        </w:rPr>
        <w:t>OH</w:t>
      </w:r>
      <w:r>
        <w:rPr>
          <w:sz w:val="20"/>
          <w:szCs w:val="20"/>
          <w:lang w:val="en-US"/>
        </w:rPr>
        <w:t>),  1633 cm</w:t>
      </w:r>
      <w:r>
        <w:rPr>
          <w:sz w:val="20"/>
          <w:szCs w:val="20"/>
          <w:vertAlign w:val="superscript"/>
          <w:lang w:val="en-US"/>
        </w:rPr>
        <w:t xml:space="preserve">-1 </w:t>
      </w:r>
      <w:r>
        <w:rPr>
          <w:sz w:val="20"/>
          <w:szCs w:val="20"/>
          <w:lang w:val="en-US"/>
        </w:rPr>
        <w:t>(</w:t>
      </w:r>
      <w:r>
        <w:rPr>
          <w:sz w:val="20"/>
          <w:szCs w:val="20"/>
          <w:lang w:val="en-US"/>
        </w:rPr>
        <w:sym w:font="Symbol" w:char="F06E"/>
      </w:r>
      <w:r>
        <w:rPr>
          <w:sz w:val="20"/>
          <w:szCs w:val="20"/>
          <w:vertAlign w:val="subscript"/>
          <w:lang w:val="en-US"/>
        </w:rPr>
        <w:t>C=N)</w:t>
      </w:r>
      <w:r>
        <w:rPr>
          <w:sz w:val="20"/>
          <w:szCs w:val="20"/>
          <w:lang w:val="en-US"/>
        </w:rPr>
        <w:t>, 1633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C=N</w:t>
      </w:r>
      <w:r>
        <w:rPr>
          <w:sz w:val="20"/>
          <w:szCs w:val="20"/>
          <w:lang w:val="en-US"/>
        </w:rPr>
        <w:t>) and 1574 cm</w:t>
      </w:r>
      <w:r>
        <w:rPr>
          <w:sz w:val="20"/>
          <w:szCs w:val="20"/>
          <w:vertAlign w:val="superscript"/>
          <w:lang w:val="en-US"/>
        </w:rPr>
        <w:t>-1</w:t>
      </w:r>
      <w:r>
        <w:rPr>
          <w:sz w:val="20"/>
          <w:szCs w:val="20"/>
          <w:lang w:val="en-US"/>
        </w:rPr>
        <w:t xml:space="preserve">  (</w:t>
      </w:r>
      <w:r>
        <w:rPr>
          <w:sz w:val="20"/>
          <w:szCs w:val="20"/>
          <w:lang w:val="en-US"/>
        </w:rPr>
        <w:sym w:font="Symbol" w:char="F06E"/>
      </w:r>
      <w:r>
        <w:rPr>
          <w:sz w:val="20"/>
          <w:szCs w:val="20"/>
          <w:vertAlign w:val="subscript"/>
          <w:lang w:val="en-US"/>
        </w:rPr>
        <w:t>C=C)</w:t>
      </w:r>
      <w:r>
        <w:rPr>
          <w:sz w:val="20"/>
          <w:szCs w:val="20"/>
          <w:lang w:val="en-US"/>
        </w:rPr>
        <w:t xml:space="preserve">. [Figure 12], </w:t>
      </w:r>
      <w:r>
        <w:rPr>
          <w:sz w:val="20"/>
          <w:szCs w:val="20"/>
          <w:vertAlign w:val="superscript"/>
          <w:lang w:val="en-US"/>
        </w:rPr>
        <w:t>1</w:t>
      </w:r>
      <w:r>
        <w:rPr>
          <w:sz w:val="20"/>
          <w:szCs w:val="20"/>
          <w:lang w:val="en-US"/>
        </w:rPr>
        <w:t xml:space="preserve">H NMR-400 MHz, d ppm: </w:t>
      </w:r>
      <w:r>
        <w:rPr>
          <w:sz w:val="20"/>
          <w:szCs w:val="20"/>
          <w:rtl/>
          <w:lang w:eastAsia="ar-SA"/>
        </w:rPr>
        <w:t>6</w:t>
      </w:r>
      <w:r>
        <w:rPr>
          <w:sz w:val="20"/>
          <w:szCs w:val="20"/>
          <w:lang w:val="en-US"/>
        </w:rPr>
        <w:t xml:space="preserve">.78, 6.91, 6.94, 7.01, 6.78, 7.37 and </w:t>
      </w:r>
      <w:r>
        <w:rPr>
          <w:sz w:val="20"/>
          <w:szCs w:val="20"/>
          <w:rtl/>
          <w:lang w:eastAsia="ar-SA"/>
        </w:rPr>
        <w:t>9</w:t>
      </w:r>
      <w:r>
        <w:rPr>
          <w:sz w:val="20"/>
          <w:szCs w:val="20"/>
          <w:lang w:val="en-US"/>
        </w:rPr>
        <w:t>.</w:t>
      </w:r>
      <w:r>
        <w:rPr>
          <w:sz w:val="20"/>
          <w:szCs w:val="20"/>
          <w:rtl/>
          <w:lang w:eastAsia="ar-SA"/>
        </w:rPr>
        <w:t>50</w:t>
      </w:r>
      <w:r>
        <w:rPr>
          <w:sz w:val="20"/>
          <w:szCs w:val="20"/>
          <w:lang w:val="en-US"/>
        </w:rPr>
        <w:t xml:space="preserve"> [Figure 13]</w:t>
      </w:r>
    </w:p>
    <w:p w14:paraId="655D5144">
      <w:pPr>
        <w:pStyle w:val="15"/>
        <w:spacing w:line="240" w:lineRule="auto"/>
        <w:ind w:right="-167" w:firstLine="0"/>
        <w:rPr>
          <w:b/>
          <w:bCs/>
          <w:sz w:val="20"/>
          <w:szCs w:val="20"/>
          <w:lang w:val="en-US"/>
        </w:rPr>
      </w:pPr>
      <w:r>
        <w:rPr>
          <w:b/>
          <w:bCs/>
          <w:sz w:val="20"/>
          <w:szCs w:val="20"/>
          <w:lang w:val="en-US"/>
        </w:rPr>
        <w:t>Microwell bioassays</w:t>
      </w:r>
    </w:p>
    <w:p w14:paraId="44C922A3">
      <w:pPr>
        <w:pStyle w:val="15"/>
        <w:spacing w:line="240" w:lineRule="auto"/>
        <w:ind w:right="-167" w:firstLine="0"/>
        <w:rPr>
          <w:b/>
          <w:bCs/>
          <w:sz w:val="20"/>
          <w:szCs w:val="20"/>
          <w:lang w:val="en-US"/>
        </w:rPr>
      </w:pPr>
      <w:r>
        <w:rPr>
          <w:b/>
          <w:bCs/>
          <w:sz w:val="20"/>
          <w:szCs w:val="20"/>
          <w:lang w:val="en-US"/>
        </w:rPr>
        <w:t xml:space="preserve">J2 Mortality of </w:t>
      </w:r>
      <w:r>
        <w:rPr>
          <w:b/>
          <w:bCs/>
          <w:i/>
          <w:iCs/>
          <w:sz w:val="20"/>
          <w:szCs w:val="20"/>
          <w:lang w:val="en-US"/>
        </w:rPr>
        <w:t xml:space="preserve">Meloidogyne incognita </w:t>
      </w:r>
      <w:r>
        <w:rPr>
          <w:b/>
          <w:bCs/>
          <w:sz w:val="20"/>
          <w:szCs w:val="20"/>
          <w:lang w:val="en-US"/>
        </w:rPr>
        <w:t>in Response to Furfural Derivatives</w:t>
      </w:r>
    </w:p>
    <w:p w14:paraId="4B8BD990">
      <w:pPr>
        <w:pStyle w:val="15"/>
        <w:spacing w:line="240" w:lineRule="auto"/>
        <w:ind w:right="-167" w:firstLine="0"/>
        <w:rPr>
          <w:sz w:val="20"/>
          <w:szCs w:val="20"/>
          <w:lang w:val="en-US"/>
        </w:rPr>
      </w:pPr>
      <w:r>
        <w:rPr>
          <w:b/>
          <w:bCs/>
          <w:sz w:val="20"/>
          <w:szCs w:val="20"/>
          <w:lang w:val="en-US"/>
        </w:rPr>
        <w:t xml:space="preserve">     </w:t>
      </w:r>
      <w:r>
        <w:rPr>
          <w:sz w:val="20"/>
          <w:szCs w:val="20"/>
          <w:lang w:val="en-US"/>
        </w:rPr>
        <w:t xml:space="preserve"> Second-stage juveniles (J</w:t>
      </w:r>
      <w:r>
        <w:rPr>
          <w:sz w:val="20"/>
          <w:szCs w:val="20"/>
          <w:vertAlign w:val="subscript"/>
          <w:lang w:val="en-US"/>
        </w:rPr>
        <w:t>2</w:t>
      </w:r>
      <w:r>
        <w:rPr>
          <w:sz w:val="20"/>
          <w:szCs w:val="20"/>
          <w:lang w:val="en-US"/>
        </w:rPr>
        <w:t xml:space="preserve">) of </w:t>
      </w:r>
      <w:r>
        <w:rPr>
          <w:i/>
          <w:iCs/>
          <w:sz w:val="20"/>
          <w:szCs w:val="20"/>
          <w:lang w:val="en-US"/>
        </w:rPr>
        <w:t>Meloidogyne incognita</w:t>
      </w:r>
      <w:r>
        <w:rPr>
          <w:sz w:val="20"/>
          <w:szCs w:val="20"/>
          <w:lang w:val="en-US"/>
        </w:rPr>
        <w:t xml:space="preserve"> were exposed to various concentrations (1.5%, 0.75%, and 0.375%) of the synthesized furfural derivatives over different time intervals (0, 0.5, 1, 2, 12, 18, and 24 hours).</w:t>
      </w:r>
    </w:p>
    <w:p w14:paraId="0D2F7B36">
      <w:pPr>
        <w:pStyle w:val="15"/>
        <w:spacing w:line="240" w:lineRule="auto"/>
        <w:ind w:right="-167" w:firstLine="0"/>
        <w:rPr>
          <w:sz w:val="20"/>
          <w:szCs w:val="20"/>
          <w:lang w:val="en-US"/>
        </w:rPr>
      </w:pPr>
    </w:p>
    <w:p w14:paraId="71966FAD">
      <w:pPr>
        <w:pStyle w:val="15"/>
        <w:spacing w:line="240" w:lineRule="auto"/>
        <w:ind w:right="-167" w:firstLine="0"/>
        <w:rPr>
          <w:sz w:val="20"/>
          <w:szCs w:val="20"/>
          <w:lang w:val="en-US"/>
        </w:rPr>
      </w:pPr>
    </w:p>
    <w:p w14:paraId="2C7B0FB3">
      <w:pPr>
        <w:pStyle w:val="15"/>
        <w:spacing w:line="240" w:lineRule="auto"/>
        <w:ind w:right="-167" w:firstLine="0"/>
        <w:rPr>
          <w:b/>
          <w:bCs/>
          <w:sz w:val="20"/>
          <w:szCs w:val="20"/>
          <w:lang w:val="en-US"/>
        </w:rPr>
      </w:pPr>
      <w:r>
        <w:rPr>
          <w:sz w:val="20"/>
          <w:szCs w:val="20"/>
          <w:lang w:val="en-US"/>
        </w:rPr>
        <w:t xml:space="preserve"> The results demonstrated a concentration- and time-dependent increase in juvenile mortality for all tested compounds.</w:t>
      </w:r>
    </w:p>
    <w:p w14:paraId="0A63C445">
      <w:pPr>
        <w:pStyle w:val="15"/>
        <w:ind w:firstLine="0"/>
        <w:rPr>
          <w:sz w:val="20"/>
          <w:szCs w:val="20"/>
          <w:lang w:val="en-US"/>
        </w:rPr>
      </w:pPr>
      <w:r>
        <w:rPr>
          <w:sz w:val="20"/>
          <w:szCs w:val="20"/>
          <w:lang w:val="en-US"/>
        </w:rPr>
        <w:t xml:space="preserve">   At the highest concentration (1.5%), all furfural derivatives induced 100% mortality within 2 hours, confirming their strong and rapid nematicidal activity. At the intermediate concentration (0.75%), differences in efficacy and speed of action were observed among the compounds. Notably, FM and FC exhibited faster and more potent activity compared to FP and FO, which required longer exposure times to achieve similar mortality levels.</w:t>
      </w:r>
    </w:p>
    <w:p w14:paraId="2E8EFAA8">
      <w:pPr>
        <w:pStyle w:val="15"/>
        <w:ind w:firstLine="0"/>
        <w:rPr>
          <w:sz w:val="20"/>
          <w:szCs w:val="20"/>
          <w:lang w:val="en-US"/>
        </w:rPr>
      </w:pPr>
      <w:r>
        <w:rPr>
          <w:sz w:val="20"/>
          <w:szCs w:val="20"/>
          <w:lang w:val="en-US"/>
        </w:rPr>
        <w:t xml:space="preserve">   At the lowest concentration tested (0.375%), mortality rates increased gradually over time, with full mortality not achieved within the 24-hour exposure period for most compounds. This indicates that both the dose and duration of exposure are critical determinants of nematicidal efficacy. </w:t>
      </w:r>
    </w:p>
    <w:p w14:paraId="6D47AFA4">
      <w:pPr>
        <w:pStyle w:val="15"/>
        <w:ind w:firstLine="0"/>
        <w:rPr>
          <w:sz w:val="20"/>
          <w:szCs w:val="20"/>
          <w:lang w:val="en-US"/>
        </w:rPr>
      </w:pPr>
      <w:r>
        <w:rPr>
          <w:sz w:val="20"/>
          <w:szCs w:val="20"/>
          <w:lang w:val="en-US"/>
        </w:rPr>
        <w:t xml:space="preserve">      Control treatments with sterile deionized water (DIW) and dimethyl sulfoxide (DMSO) showed no significant effect on J</w:t>
      </w:r>
      <w:r>
        <w:rPr>
          <w:sz w:val="20"/>
          <w:szCs w:val="20"/>
          <w:vertAlign w:val="subscript"/>
          <w:lang w:val="en-US"/>
        </w:rPr>
        <w:t>2</w:t>
      </w:r>
      <w:r>
        <w:rPr>
          <w:sz w:val="20"/>
          <w:szCs w:val="20"/>
          <w:lang w:val="en-US"/>
        </w:rPr>
        <w:t xml:space="preserve"> mortality, confirming that the observed nematicidal activity was attributable solely to the furfural-derived compounds </w:t>
      </w:r>
      <w:r>
        <w:rPr>
          <w:b/>
          <w:bCs/>
          <w:sz w:val="20"/>
          <w:szCs w:val="20"/>
          <w:lang w:val="en-US"/>
        </w:rPr>
        <w:t>(Table 1).</w:t>
      </w:r>
    </w:p>
    <w:p w14:paraId="6EF5EA09">
      <w:pPr>
        <w:pStyle w:val="15"/>
        <w:ind w:firstLine="0"/>
        <w:jc w:val="left"/>
        <w:rPr>
          <w:b/>
          <w:bCs/>
          <w:sz w:val="20"/>
          <w:szCs w:val="20"/>
          <w:lang w:val="en-US"/>
        </w:rPr>
      </w:pPr>
      <w:r>
        <w:rPr>
          <w:b/>
          <w:bCs/>
          <w:sz w:val="20"/>
          <w:szCs w:val="20"/>
          <w:lang w:val="en-US"/>
        </w:rPr>
        <w:t xml:space="preserve">   J</w:t>
      </w:r>
      <w:r>
        <w:rPr>
          <w:b/>
          <w:bCs/>
          <w:sz w:val="20"/>
          <w:szCs w:val="20"/>
          <w:vertAlign w:val="subscript"/>
          <w:lang w:val="en-US"/>
        </w:rPr>
        <w:t>2</w:t>
      </w:r>
      <w:r>
        <w:rPr>
          <w:b/>
          <w:bCs/>
          <w:sz w:val="20"/>
          <w:szCs w:val="20"/>
          <w:lang w:val="en-US"/>
        </w:rPr>
        <w:t xml:space="preserve"> Mortality of </w:t>
      </w:r>
      <w:r>
        <w:rPr>
          <w:b/>
          <w:bCs/>
          <w:i/>
          <w:iCs/>
          <w:sz w:val="20"/>
          <w:szCs w:val="20"/>
          <w:lang w:val="en-US"/>
        </w:rPr>
        <w:t>T. semipenetrans</w:t>
      </w:r>
      <w:r>
        <w:rPr>
          <w:b/>
          <w:bCs/>
          <w:sz w:val="20"/>
          <w:szCs w:val="20"/>
          <w:lang w:val="en-US"/>
        </w:rPr>
        <w:t xml:space="preserve"> in response to furfural derivatives</w:t>
      </w:r>
    </w:p>
    <w:p w14:paraId="6943B083">
      <w:pPr>
        <w:pStyle w:val="15"/>
        <w:ind w:firstLine="0"/>
        <w:jc w:val="left"/>
        <w:rPr>
          <w:b/>
          <w:bCs/>
          <w:sz w:val="20"/>
          <w:szCs w:val="20"/>
          <w:lang w:val="en-US"/>
        </w:rPr>
      </w:pPr>
      <w:r>
        <w:rPr>
          <w:b/>
          <w:bCs/>
          <w:sz w:val="20"/>
          <w:szCs w:val="20"/>
          <w:lang w:val="en-US"/>
        </w:rPr>
        <w:t xml:space="preserve">   </w:t>
      </w:r>
      <w:r>
        <w:rPr>
          <w:sz w:val="20"/>
          <w:szCs w:val="20"/>
          <w:lang w:val="en-US"/>
        </w:rPr>
        <w:t xml:space="preserve">  The mortality rates of second-stage juveniles (J</w:t>
      </w:r>
      <w:r>
        <w:rPr>
          <w:sz w:val="20"/>
          <w:szCs w:val="20"/>
          <w:vertAlign w:val="subscript"/>
          <w:lang w:val="en-US"/>
        </w:rPr>
        <w:t>2</w:t>
      </w:r>
      <w:r>
        <w:rPr>
          <w:sz w:val="20"/>
          <w:szCs w:val="20"/>
          <w:lang w:val="en-US"/>
        </w:rPr>
        <w:t xml:space="preserve">) of </w:t>
      </w:r>
      <w:r>
        <w:rPr>
          <w:i/>
          <w:iCs/>
          <w:sz w:val="20"/>
          <w:szCs w:val="20"/>
          <w:lang w:val="en-US"/>
        </w:rPr>
        <w:t>Tylenchulus semipenetrans</w:t>
      </w:r>
      <w:r>
        <w:rPr>
          <w:sz w:val="20"/>
          <w:szCs w:val="20"/>
          <w:lang w:val="en-US"/>
        </w:rPr>
        <w:t xml:space="preserve"> were evaluated following exposure to various concentrations (1.5%, 0.75%, and 0.375%) of furfural derivatives over different time intervals (0, 0.5, 1, 2, 12, 18, and 24 hours). The results demonstrate a significant nematicidal effect of these compounds, with mortality increasing over time.</w:t>
      </w:r>
    </w:p>
    <w:p w14:paraId="4CBE0D87">
      <w:pPr>
        <w:pStyle w:val="15"/>
        <w:ind w:firstLine="0"/>
        <w:jc w:val="left"/>
        <w:rPr>
          <w:b/>
          <w:bCs/>
          <w:sz w:val="20"/>
          <w:szCs w:val="20"/>
          <w:lang w:val="en-US"/>
        </w:rPr>
      </w:pPr>
      <w:r>
        <w:rPr>
          <w:b/>
          <w:bCs/>
          <w:sz w:val="20"/>
          <w:szCs w:val="20"/>
          <w:lang w:val="en-US"/>
        </w:rPr>
        <w:t xml:space="preserve">    </w:t>
      </w:r>
      <w:r>
        <w:rPr>
          <w:sz w:val="20"/>
          <w:szCs w:val="20"/>
          <w:lang w:val="en-US"/>
        </w:rPr>
        <w:t xml:space="preserve">  At the highest concentration (1.5%), all tested compounds achieved 100% mortality within 2 hours, indicating the rapid and potent activity of these derivatives in controlling </w:t>
      </w:r>
      <w:r>
        <w:rPr>
          <w:i/>
          <w:iCs/>
          <w:sz w:val="20"/>
          <w:szCs w:val="20"/>
          <w:lang w:val="en-US"/>
        </w:rPr>
        <w:t>T. semipenetrans</w:t>
      </w:r>
      <w:r>
        <w:rPr>
          <w:sz w:val="20"/>
          <w:szCs w:val="20"/>
          <w:lang w:val="en-US"/>
        </w:rPr>
        <w:t>. At the intermediate concentration (0.75%), the onset of action varied among compounds; for instance, FM and FC induced faster and more effective mortality compared to FP and FO.</w:t>
      </w:r>
    </w:p>
    <w:p w14:paraId="33472E5E">
      <w:pPr>
        <w:pStyle w:val="15"/>
        <w:ind w:firstLine="0"/>
        <w:jc w:val="left"/>
        <w:rPr>
          <w:b/>
          <w:bCs/>
          <w:sz w:val="20"/>
          <w:szCs w:val="20"/>
          <w:lang w:val="en-US"/>
        </w:rPr>
      </w:pPr>
      <w:r>
        <w:rPr>
          <w:b/>
          <w:bCs/>
          <w:sz w:val="20"/>
          <w:szCs w:val="20"/>
          <w:lang w:val="en-US"/>
        </w:rPr>
        <w:t xml:space="preserve">      </w:t>
      </w:r>
    </w:p>
    <w:p w14:paraId="3EFBB8A0">
      <w:pPr>
        <w:pStyle w:val="15"/>
        <w:ind w:firstLine="0"/>
        <w:jc w:val="left"/>
        <w:rPr>
          <w:b/>
          <w:bCs/>
          <w:sz w:val="20"/>
          <w:szCs w:val="20"/>
          <w:lang w:val="en-US"/>
        </w:rPr>
      </w:pPr>
    </w:p>
    <w:p w14:paraId="70705614">
      <w:pPr>
        <w:pStyle w:val="15"/>
        <w:ind w:firstLine="0"/>
        <w:jc w:val="left"/>
        <w:rPr>
          <w:sz w:val="20"/>
          <w:szCs w:val="20"/>
          <w:lang w:val="en-US"/>
        </w:rPr>
      </w:pPr>
      <w:r>
        <w:rPr>
          <w:b/>
          <w:bCs/>
          <w:sz w:val="20"/>
          <w:szCs w:val="20"/>
          <w:lang w:val="en-US"/>
        </w:rPr>
        <w:t xml:space="preserve">  </w:t>
      </w:r>
      <w:r>
        <w:rPr>
          <w:sz w:val="20"/>
          <w:szCs w:val="20"/>
          <w:lang w:val="en-US"/>
        </w:rPr>
        <w:t xml:space="preserve"> At the lowest concentration (0.375%), the time required to reach comparable mortality levels was significantly longer, suggesting a clear dose- and time-dependent relationship.</w:t>
      </w:r>
    </w:p>
    <w:p w14:paraId="7D6A432D">
      <w:pPr>
        <w:pStyle w:val="15"/>
        <w:ind w:firstLine="0"/>
        <w:jc w:val="left"/>
        <w:rPr>
          <w:sz w:val="20"/>
          <w:szCs w:val="20"/>
          <w:lang w:val="en-US"/>
        </w:rPr>
      </w:pPr>
      <w:r>
        <w:rPr>
          <w:sz w:val="20"/>
          <w:szCs w:val="20"/>
          <w:lang w:val="en-US"/>
        </w:rPr>
        <w:t xml:space="preserve">      Control treatments using sterile distilled water (DIW) and dimethyl sulfoxide (DMSO) showed no significant effect on nematode mortality, confirming that the observed lethality was attributable solely to the furfural derivatives </w:t>
      </w:r>
      <w:r>
        <w:rPr>
          <w:b/>
          <w:bCs/>
          <w:sz w:val="20"/>
          <w:szCs w:val="20"/>
          <w:lang w:val="en-US"/>
        </w:rPr>
        <w:t>(Table 2).</w:t>
      </w:r>
    </w:p>
    <w:p w14:paraId="551E98B1">
      <w:pPr>
        <w:pStyle w:val="15"/>
        <w:ind w:firstLine="0"/>
        <w:rPr>
          <w:b/>
          <w:bCs/>
          <w:sz w:val="20"/>
          <w:szCs w:val="20"/>
          <w:lang w:val="en-US"/>
        </w:rPr>
      </w:pPr>
      <w:r>
        <w:rPr>
          <w:sz w:val="20"/>
          <w:szCs w:val="20"/>
          <w:lang w:val="en-US"/>
        </w:rPr>
        <w:t xml:space="preserve">       The results obtained indicate that all furfural derivatives tested in this study exhibit a strong ability to reduce the number of nematode larvae under laboratory conditions. Consequently, the lowest concentration tested (0.375%) was selected to compare key parameters and identify the most effective compound for potential future applications, as presented in </w:t>
      </w:r>
      <w:r>
        <w:rPr>
          <w:b/>
          <w:bCs/>
          <w:sz w:val="20"/>
          <w:szCs w:val="20"/>
          <w:lang w:val="en-US"/>
        </w:rPr>
        <w:t>(Table 3).</w:t>
      </w:r>
    </w:p>
    <w:p w14:paraId="6D500555">
      <w:pPr>
        <w:pStyle w:val="15"/>
        <w:ind w:firstLine="0"/>
        <w:rPr>
          <w:sz w:val="20"/>
          <w:szCs w:val="20"/>
          <w:lang w:val="en-US"/>
        </w:rPr>
      </w:pPr>
      <w:r>
        <w:rPr>
          <w:sz w:val="20"/>
          <w:szCs w:val="20"/>
          <w:lang w:val="en-US"/>
        </w:rPr>
        <w:t xml:space="preserve">     Among the derivatives, FC demonstrated the highest nematicidal activity, achieving nearly 50% mortality of J</w:t>
      </w:r>
      <w:r>
        <w:rPr>
          <w:sz w:val="20"/>
          <w:szCs w:val="20"/>
          <w:vertAlign w:val="subscript"/>
          <w:lang w:val="en-US"/>
        </w:rPr>
        <w:t>2</w:t>
      </w:r>
      <w:r>
        <w:rPr>
          <w:sz w:val="20"/>
          <w:szCs w:val="20"/>
          <w:lang w:val="en-US"/>
        </w:rPr>
        <w:t xml:space="preserve"> larvae from both nematode species within just 30 minutes of exposure </w:t>
      </w:r>
      <w:r>
        <w:rPr>
          <w:b/>
          <w:bCs/>
          <w:sz w:val="20"/>
          <w:szCs w:val="20"/>
          <w:lang w:val="en-US"/>
        </w:rPr>
        <w:t>(Table 3).</w:t>
      </w:r>
      <w:r>
        <w:rPr>
          <w:sz w:val="20"/>
          <w:szCs w:val="20"/>
          <w:lang w:val="en-US"/>
        </w:rPr>
        <w:t xml:space="preserve"> This highlights FC as a particularly promising candidate for further investigation.</w:t>
      </w:r>
    </w:p>
    <w:p w14:paraId="471D609E">
      <w:pPr>
        <w:pStyle w:val="15"/>
        <w:ind w:firstLine="0"/>
        <w:rPr>
          <w:sz w:val="20"/>
          <w:szCs w:val="20"/>
          <w:lang w:val="en-US"/>
        </w:rPr>
      </w:pPr>
      <w:r>
        <w:rPr>
          <w:sz w:val="20"/>
          <w:szCs w:val="20"/>
          <w:lang w:val="en-US"/>
        </w:rPr>
        <w:t xml:space="preserve">       Furfural derivatives exhibited significant toxicity against second-stage juveniles (J</w:t>
      </w:r>
      <w:r>
        <w:rPr>
          <w:sz w:val="20"/>
          <w:szCs w:val="20"/>
          <w:vertAlign w:val="subscript"/>
          <w:lang w:val="en-US"/>
        </w:rPr>
        <w:t>2</w:t>
      </w:r>
      <w:r>
        <w:rPr>
          <w:sz w:val="20"/>
          <w:szCs w:val="20"/>
          <w:lang w:val="en-US"/>
        </w:rPr>
        <w:t xml:space="preserve">) of </w:t>
      </w:r>
      <w:r>
        <w:rPr>
          <w:i/>
          <w:iCs/>
          <w:sz w:val="20"/>
          <w:szCs w:val="20"/>
          <w:lang w:val="en-US"/>
        </w:rPr>
        <w:t>Meloidogyne incognita</w:t>
      </w:r>
      <w:r>
        <w:rPr>
          <w:sz w:val="20"/>
          <w:szCs w:val="20"/>
          <w:lang w:val="en-US"/>
        </w:rPr>
        <w:t xml:space="preserve"> and </w:t>
      </w:r>
      <w:r>
        <w:rPr>
          <w:i/>
          <w:iCs/>
          <w:sz w:val="20"/>
          <w:szCs w:val="20"/>
          <w:lang w:val="en-US"/>
        </w:rPr>
        <w:t>Tylenchulus semipenetrans</w:t>
      </w:r>
      <w:r>
        <w:rPr>
          <w:sz w:val="20"/>
          <w:szCs w:val="20"/>
          <w:lang w:val="en-US"/>
        </w:rPr>
        <w:t>. Regression analysis indicated a marked increase in J</w:t>
      </w:r>
      <w:r>
        <w:rPr>
          <w:sz w:val="20"/>
          <w:szCs w:val="20"/>
          <w:vertAlign w:val="subscript"/>
          <w:lang w:val="en-US"/>
        </w:rPr>
        <w:t>2</w:t>
      </w:r>
      <w:r>
        <w:rPr>
          <w:sz w:val="20"/>
          <w:szCs w:val="20"/>
          <w:lang w:val="en-US"/>
        </w:rPr>
        <w:t xml:space="preserve"> mortality even at low concentrations, with toxicity intensifying as both concentration and exposure time increased—particularly during the first 12 hours.</w:t>
      </w:r>
    </w:p>
    <w:p w14:paraId="42A8E31C">
      <w:pPr>
        <w:pStyle w:val="15"/>
        <w:ind w:firstLine="0"/>
        <w:rPr>
          <w:b/>
          <w:bCs/>
          <w:sz w:val="20"/>
          <w:szCs w:val="20"/>
          <w:lang w:val="en-US"/>
        </w:rPr>
      </w:pPr>
      <w:r>
        <w:rPr>
          <w:sz w:val="20"/>
          <w:szCs w:val="20"/>
          <w:lang w:val="en-US"/>
        </w:rPr>
        <w:t xml:space="preserve">       By the 12-hour mark, no viable J</w:t>
      </w:r>
      <w:r>
        <w:rPr>
          <w:sz w:val="20"/>
          <w:szCs w:val="20"/>
          <w:vertAlign w:val="subscript"/>
          <w:lang w:val="en-US"/>
        </w:rPr>
        <w:t>2</w:t>
      </w:r>
      <w:r>
        <w:rPr>
          <w:sz w:val="20"/>
          <w:szCs w:val="20"/>
          <w:lang w:val="en-US"/>
        </w:rPr>
        <w:t xml:space="preserve"> were detected in treated groups, while the water control consistently showed 0% mortality throughout the experiment, confirming the absence of natural mortality and reinforcing the effectiveness of the compounds </w:t>
      </w:r>
      <w:r>
        <w:rPr>
          <w:b/>
          <w:bCs/>
          <w:sz w:val="20"/>
          <w:szCs w:val="20"/>
          <w:lang w:val="en-US"/>
        </w:rPr>
        <w:t xml:space="preserve">(Figures 14 and 15) </w:t>
      </w:r>
    </w:p>
    <w:p w14:paraId="516B59E6">
      <w:pPr>
        <w:pStyle w:val="15"/>
        <w:spacing w:after="0" w:line="240" w:lineRule="auto"/>
        <w:rPr>
          <w:b/>
          <w:bCs/>
          <w:sz w:val="20"/>
          <w:szCs w:val="20"/>
          <w:lang w:val="en-US"/>
        </w:rPr>
        <w:sectPr>
          <w:type w:val="continuous"/>
          <w:pgSz w:w="11906" w:h="16838"/>
          <w:pgMar w:top="1440" w:right="1106" w:bottom="1440" w:left="1080" w:header="720" w:footer="720" w:gutter="0"/>
          <w:cols w:space="720" w:num="2"/>
          <w:docGrid w:linePitch="360" w:charSpace="0"/>
        </w:sectPr>
      </w:pPr>
    </w:p>
    <w:p w14:paraId="4EBAF94C">
      <w:pPr>
        <w:pStyle w:val="9"/>
        <w:spacing w:after="0"/>
        <w:jc w:val="both"/>
        <w:rPr>
          <w:rFonts w:asciiTheme="majorBidi" w:hAnsiTheme="majorBidi" w:cstheme="majorBidi"/>
          <w:color w:val="auto"/>
          <w:sz w:val="20"/>
          <w:szCs w:val="20"/>
        </w:rPr>
      </w:pPr>
    </w:p>
    <w:p w14:paraId="75FABEF5">
      <w:pPr>
        <w:pStyle w:val="9"/>
        <w:spacing w:after="0"/>
        <w:jc w:val="both"/>
        <w:rPr>
          <w:rFonts w:asciiTheme="majorBidi" w:hAnsiTheme="majorBidi" w:cstheme="majorBidi"/>
          <w:color w:val="auto"/>
          <w:sz w:val="20"/>
          <w:szCs w:val="20"/>
        </w:rPr>
      </w:pPr>
    </w:p>
    <w:p w14:paraId="2F7CC1DA">
      <w:pPr>
        <w:pStyle w:val="9"/>
        <w:spacing w:after="0"/>
        <w:jc w:val="both"/>
        <w:rPr>
          <w:rFonts w:asciiTheme="majorBidi" w:hAnsiTheme="majorBidi" w:cstheme="majorBidi"/>
          <w:color w:val="auto"/>
          <w:sz w:val="20"/>
          <w:szCs w:val="20"/>
        </w:rPr>
      </w:pPr>
    </w:p>
    <w:p w14:paraId="6025A3FB">
      <w:pPr>
        <w:pStyle w:val="9"/>
        <w:spacing w:after="0"/>
        <w:jc w:val="both"/>
        <w:rPr>
          <w:rFonts w:asciiTheme="majorBidi" w:hAnsiTheme="majorBidi" w:cstheme="majorBidi"/>
          <w:color w:val="auto"/>
          <w:sz w:val="20"/>
          <w:szCs w:val="20"/>
        </w:rPr>
      </w:pPr>
    </w:p>
    <w:p w14:paraId="1F10C195">
      <w:pPr>
        <w:pStyle w:val="9"/>
        <w:spacing w:after="0"/>
        <w:jc w:val="both"/>
        <w:rPr>
          <w:rFonts w:asciiTheme="majorBidi" w:hAnsiTheme="majorBidi" w:cstheme="majorBidi"/>
          <w:color w:val="auto"/>
          <w:sz w:val="20"/>
          <w:szCs w:val="20"/>
        </w:rPr>
      </w:pPr>
    </w:p>
    <w:p w14:paraId="60DF2C19">
      <w:pPr>
        <w:pStyle w:val="9"/>
        <w:spacing w:after="0"/>
        <w:jc w:val="both"/>
        <w:rPr>
          <w:rFonts w:asciiTheme="majorBidi" w:hAnsiTheme="majorBidi" w:cstheme="majorBidi"/>
          <w:color w:val="auto"/>
          <w:sz w:val="20"/>
          <w:szCs w:val="20"/>
        </w:rPr>
      </w:pPr>
    </w:p>
    <w:bookmarkEnd w:id="0"/>
    <w:p w14:paraId="54695B96">
      <w:pPr>
        <w:pStyle w:val="15"/>
        <w:spacing w:after="0" w:line="240" w:lineRule="auto"/>
        <w:ind w:firstLine="0"/>
        <w:rPr>
          <w:b/>
          <w:bCs/>
          <w:sz w:val="20"/>
          <w:szCs w:val="20"/>
        </w:rPr>
        <w:sectPr>
          <w:type w:val="continuous"/>
          <w:pgSz w:w="11906" w:h="16838"/>
          <w:pgMar w:top="1440" w:right="1106" w:bottom="1440" w:left="1080" w:header="720" w:footer="720" w:gutter="0"/>
          <w:cols w:space="720" w:num="1"/>
          <w:docGrid w:linePitch="360" w:charSpace="0"/>
        </w:sectPr>
      </w:pPr>
      <w:bookmarkStart w:id="1" w:name="_Hlk131024263"/>
    </w:p>
    <w:bookmarkEnd w:id="1"/>
    <w:p w14:paraId="2D12F2F5">
      <w:pPr>
        <w:pStyle w:val="48"/>
        <w:jc w:val="left"/>
        <w:rPr>
          <w:sz w:val="20"/>
          <w:szCs w:val="20"/>
        </w:rPr>
      </w:pPr>
      <w:bookmarkStart w:id="2" w:name="_Toc131155111"/>
      <w:bookmarkStart w:id="3" w:name="_Toc131154977"/>
    </w:p>
    <w:p w14:paraId="66F8A3AB">
      <w:pPr>
        <w:pStyle w:val="48"/>
        <w:jc w:val="left"/>
        <w:rPr>
          <w:sz w:val="20"/>
          <w:szCs w:val="20"/>
        </w:rPr>
      </w:pPr>
    </w:p>
    <w:p w14:paraId="6BABB41B">
      <w:pPr>
        <w:pStyle w:val="48"/>
        <w:rPr>
          <w:sz w:val="20"/>
          <w:szCs w:val="20"/>
        </w:rPr>
      </w:pPr>
      <w:r>
        <w:rPr>
          <w:sz w:val="20"/>
          <w:szCs w:val="20"/>
        </w:rPr>
        <w:pict>
          <v:shape id="_x0000_s1032" o:spid="_x0000_s1032" o:spt="75" type="#_x0000_t75" style="position:absolute;left:0pt;margin-left:-40.5pt;margin-top:-0.1pt;height:306.5pt;width:571pt;z-index:251659264;mso-width-relative:page;mso-height-relative:page;" o:ole="t" filled="f" o:preferrelative="t" stroked="f" coordsize="21600,21600">
            <v:path/>
            <v:fill on="f" focussize="0,0"/>
            <v:stroke on="f" joinstyle="miter"/>
            <v:imagedata r:id="rId13" o:title=""/>
            <o:lock v:ext="edit" aspectratio="t"/>
          </v:shape>
          <o:OLEObject Type="Embed" ProgID="ChemDraw.Document.6.0" ShapeID="_x0000_s1032" DrawAspect="Content" ObjectID="_1468075725" r:id="rId12">
            <o:LockedField>false</o:LockedField>
          </o:OLEObject>
        </w:pict>
      </w:r>
    </w:p>
    <w:p w14:paraId="3529599C">
      <w:pPr>
        <w:pStyle w:val="48"/>
        <w:rPr>
          <w:sz w:val="20"/>
          <w:szCs w:val="20"/>
        </w:rPr>
      </w:pPr>
    </w:p>
    <w:p w14:paraId="0E5F7B6F">
      <w:pPr>
        <w:pStyle w:val="48"/>
        <w:rPr>
          <w:sz w:val="20"/>
          <w:szCs w:val="20"/>
        </w:rPr>
      </w:pPr>
    </w:p>
    <w:p w14:paraId="000F08ED">
      <w:pPr>
        <w:pStyle w:val="48"/>
        <w:rPr>
          <w:sz w:val="20"/>
          <w:szCs w:val="20"/>
        </w:rPr>
      </w:pPr>
    </w:p>
    <w:p w14:paraId="5BD61708">
      <w:pPr>
        <w:pStyle w:val="48"/>
        <w:rPr>
          <w:sz w:val="20"/>
          <w:szCs w:val="20"/>
        </w:rPr>
      </w:pPr>
    </w:p>
    <w:p w14:paraId="3F3E6AD2">
      <w:pPr>
        <w:pStyle w:val="48"/>
        <w:rPr>
          <w:sz w:val="20"/>
          <w:szCs w:val="20"/>
        </w:rPr>
      </w:pPr>
    </w:p>
    <w:p w14:paraId="5894C464">
      <w:pPr>
        <w:pStyle w:val="48"/>
        <w:rPr>
          <w:sz w:val="20"/>
          <w:szCs w:val="20"/>
        </w:rPr>
      </w:pPr>
    </w:p>
    <w:p w14:paraId="5E3F22D1">
      <w:pPr>
        <w:pStyle w:val="48"/>
        <w:rPr>
          <w:sz w:val="20"/>
          <w:szCs w:val="20"/>
        </w:rPr>
      </w:pPr>
    </w:p>
    <w:p w14:paraId="37279ABF">
      <w:pPr>
        <w:pStyle w:val="48"/>
        <w:rPr>
          <w:sz w:val="20"/>
          <w:szCs w:val="20"/>
        </w:rPr>
      </w:pPr>
    </w:p>
    <w:p w14:paraId="05685DAB">
      <w:pPr>
        <w:pStyle w:val="48"/>
        <w:rPr>
          <w:sz w:val="20"/>
          <w:szCs w:val="20"/>
        </w:rPr>
      </w:pPr>
    </w:p>
    <w:p w14:paraId="0FDE1927">
      <w:pPr>
        <w:pStyle w:val="48"/>
        <w:rPr>
          <w:sz w:val="20"/>
          <w:szCs w:val="20"/>
        </w:rPr>
      </w:pPr>
    </w:p>
    <w:p w14:paraId="5677B134">
      <w:pPr>
        <w:pStyle w:val="48"/>
        <w:rPr>
          <w:sz w:val="20"/>
          <w:szCs w:val="20"/>
        </w:rPr>
      </w:pPr>
    </w:p>
    <w:p w14:paraId="48D5EF08">
      <w:pPr>
        <w:pStyle w:val="48"/>
        <w:rPr>
          <w:sz w:val="20"/>
          <w:szCs w:val="20"/>
        </w:rPr>
      </w:pPr>
    </w:p>
    <w:p w14:paraId="523FE943">
      <w:pPr>
        <w:pStyle w:val="48"/>
        <w:rPr>
          <w:sz w:val="20"/>
          <w:szCs w:val="20"/>
        </w:rPr>
      </w:pPr>
    </w:p>
    <w:p w14:paraId="78E483A2">
      <w:pPr>
        <w:pStyle w:val="48"/>
        <w:rPr>
          <w:sz w:val="20"/>
          <w:szCs w:val="20"/>
        </w:rPr>
      </w:pPr>
    </w:p>
    <w:p w14:paraId="719AC4F3">
      <w:pPr>
        <w:pStyle w:val="48"/>
        <w:rPr>
          <w:sz w:val="20"/>
          <w:szCs w:val="20"/>
        </w:rPr>
      </w:pPr>
    </w:p>
    <w:bookmarkEnd w:id="2"/>
    <w:bookmarkEnd w:id="3"/>
    <w:p w14:paraId="761FD7A0">
      <w:pPr>
        <w:pStyle w:val="9"/>
        <w:spacing w:after="0"/>
        <w:jc w:val="both"/>
        <w:rPr>
          <w:rFonts w:asciiTheme="majorBidi" w:hAnsiTheme="majorBidi" w:cstheme="majorBidi"/>
          <w:color w:val="auto"/>
          <w:sz w:val="20"/>
          <w:szCs w:val="20"/>
        </w:rPr>
      </w:pPr>
    </w:p>
    <w:p w14:paraId="3A0EDA5A"/>
    <w:p w14:paraId="66DB90C6"/>
    <w:p w14:paraId="104DF338"/>
    <w:p w14:paraId="1978656A"/>
    <w:p w14:paraId="3AD76495"/>
    <w:p w14:paraId="35CE0413">
      <w:pPr>
        <w:jc w:val="center"/>
        <w:rPr>
          <w:b/>
          <w:bCs/>
        </w:rPr>
      </w:pPr>
      <w:r>
        <w:rPr>
          <w:rFonts w:ascii="Times New Roman" w:hAnsi="Times New Roman" w:eastAsia="Times New Roman" w:cs="Times New Roman"/>
          <w:b/>
          <w:bCs/>
          <w:sz w:val="24"/>
          <w:szCs w:val="24"/>
        </w:rPr>
        <w:drawing>
          <wp:anchor distT="0" distB="0" distL="114300" distR="114300" simplePos="0" relativeHeight="251673600" behindDoc="1" locked="0" layoutInCell="1" allowOverlap="1">
            <wp:simplePos x="0" y="0"/>
            <wp:positionH relativeFrom="column">
              <wp:posOffset>-488950</wp:posOffset>
            </wp:positionH>
            <wp:positionV relativeFrom="paragraph">
              <wp:posOffset>247015</wp:posOffset>
            </wp:positionV>
            <wp:extent cx="7137400" cy="3382645"/>
            <wp:effectExtent l="0" t="0" r="635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a:xfrm>
                      <a:off x="0" y="0"/>
                      <a:ext cx="7142244" cy="3385185"/>
                    </a:xfrm>
                    <a:prstGeom prst="rect">
                      <a:avLst/>
                    </a:prstGeom>
                    <a:noFill/>
                    <a:ln>
                      <a:noFill/>
                    </a:ln>
                  </pic:spPr>
                </pic:pic>
              </a:graphicData>
            </a:graphic>
          </wp:anchor>
        </w:drawing>
      </w:r>
      <w:r>
        <w:rPr>
          <w:b/>
          <w:bCs/>
        </w:rPr>
        <w:t>Fig. 1: Synthesis reactions of furfural derivatives</w:t>
      </w:r>
    </w:p>
    <w:p w14:paraId="23B1309B">
      <w:r>
        <w:tab/>
      </w:r>
    </w:p>
    <w:p w14:paraId="5FA27024">
      <w:r>
        <w:tab/>
      </w:r>
    </w:p>
    <w:p w14:paraId="75B4FA01">
      <w:r>
        <w:pict>
          <v:shape id="_x0000_s1033" o:spid="_x0000_s1033" o:spt="75" type="#_x0000_t75" style="position:absolute;left:0pt;margin-left:112.05pt;margin-top:7.4pt;height:49.5pt;width:127.5pt;z-index:-251654144;mso-width-relative:page;mso-height-relative:page;" o:ole="t" filled="f" o:preferrelative="t" stroked="f" coordsize="21600,21600">
            <v:path/>
            <v:fill on="f" focussize="0,0"/>
            <v:stroke on="f" joinstyle="miter"/>
            <v:imagedata r:id="rId16" o:title=""/>
            <o:lock v:ext="edit" aspectratio="t"/>
          </v:shape>
          <o:OLEObject Type="Embed" ProgID="ChemDraw.Document.6.0" ShapeID="_x0000_s1033" DrawAspect="Content" ObjectID="_1468075726" r:id="rId15">
            <o:LockedField>false</o:LockedField>
          </o:OLEObject>
        </w:pict>
      </w:r>
    </w:p>
    <w:p w14:paraId="3AE7EBE7"/>
    <w:p w14:paraId="6E51DA34"/>
    <w:p w14:paraId="552CDC33">
      <w:r>
        <w:pict>
          <v:shape id="_x0000_s1035" o:spid="_x0000_s1035" o:spt="75" type="#_x0000_t75" style="position:absolute;left:0pt;margin-left:65.55pt;margin-top:12.75pt;height:49.5pt;width:127.5pt;z-index:-251641856;mso-width-relative:page;mso-height-relative:page;" o:ole="t" filled="f" o:preferrelative="t" stroked="f" coordsize="21600,21600">
            <v:path/>
            <v:fill on="f" focussize="0,0"/>
            <v:stroke on="f" joinstyle="miter"/>
            <v:imagedata r:id="rId16" o:title=""/>
            <o:lock v:ext="edit" aspectratio="t"/>
          </v:shape>
          <o:OLEObject Type="Embed" ProgID="ChemDraw.Document.6.0" ShapeID="_x0000_s1035" DrawAspect="Content" ObjectID="_1468075727" r:id="rId17">
            <o:LockedField>false</o:LockedField>
          </o:OLEObject>
        </w:pict>
      </w:r>
    </w:p>
    <w:p w14:paraId="35086C2A"/>
    <w:p w14:paraId="1F2A66B8">
      <w:pPr>
        <w:tabs>
          <w:tab w:val="left" w:pos="2970"/>
        </w:tabs>
      </w:pPr>
      <w:r>
        <w:tab/>
      </w:r>
    </w:p>
    <w:p w14:paraId="38B3640E"/>
    <w:p w14:paraId="5512444D"/>
    <w:p w14:paraId="38D3284C"/>
    <w:p w14:paraId="17BDBBC9"/>
    <w:p w14:paraId="64D9CF21">
      <w:pPr>
        <w:jc w:val="center"/>
        <w:rPr>
          <w:b/>
          <w:bCs/>
        </w:rPr>
      </w:pPr>
      <w:r>
        <w:rPr>
          <w:b/>
          <w:bCs/>
        </w:rPr>
        <w:t>Fig. 2: IR spectra of 2-(furan-2-ylmethylene)malononitrile</w:t>
      </w:r>
      <w:r>
        <w:rPr>
          <w:b/>
          <w:bCs/>
          <w:rtl/>
          <w:lang w:bidi="ar-EG"/>
        </w:rPr>
        <w:t xml:space="preserve"> </w:t>
      </w:r>
      <w:r>
        <w:rPr>
          <w:b/>
          <w:bCs/>
        </w:rPr>
        <w:t xml:space="preserve"> (FM)</w:t>
      </w:r>
    </w:p>
    <w:p w14:paraId="12EC1F46"/>
    <w:p w14:paraId="077884B1"/>
    <w:p w14:paraId="35873FFC"/>
    <w:p w14:paraId="20AE7D8A">
      <w:r>
        <w:drawing>
          <wp:anchor distT="0" distB="0" distL="114300" distR="114300" simplePos="0" relativeHeight="251660288" behindDoc="1" locked="0" layoutInCell="1" allowOverlap="1">
            <wp:simplePos x="0" y="0"/>
            <wp:positionH relativeFrom="column">
              <wp:posOffset>-355600</wp:posOffset>
            </wp:positionH>
            <wp:positionV relativeFrom="paragraph">
              <wp:posOffset>138430</wp:posOffset>
            </wp:positionV>
            <wp:extent cx="6553200" cy="28943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553200" cy="2894330"/>
                    </a:xfrm>
                    <a:prstGeom prst="rect">
                      <a:avLst/>
                    </a:prstGeom>
                    <a:noFill/>
                    <a:ln>
                      <a:noFill/>
                    </a:ln>
                  </pic:spPr>
                </pic:pic>
              </a:graphicData>
            </a:graphic>
          </wp:anchor>
        </w:drawing>
      </w:r>
    </w:p>
    <w:p w14:paraId="6112EC8D"/>
    <w:p w14:paraId="2E09B9C3"/>
    <w:p w14:paraId="46282DD4"/>
    <w:p w14:paraId="0E72FC81"/>
    <w:p w14:paraId="6C4D9636"/>
    <w:p w14:paraId="77887C0B"/>
    <w:p w14:paraId="4A0B9786"/>
    <w:p w14:paraId="39C0CE51">
      <w:r>
        <w:tab/>
      </w:r>
    </w:p>
    <w:p w14:paraId="34B7BCB6"/>
    <w:p w14:paraId="07CF704E"/>
    <w:p w14:paraId="2BC82C22">
      <w:pPr>
        <w:jc w:val="center"/>
        <w:rPr>
          <w:b/>
          <w:bCs/>
        </w:rPr>
      </w:pPr>
      <w:r>
        <w:rPr>
          <w:b/>
          <w:bCs/>
        </w:rPr>
        <w:t xml:space="preserve">Fig. 3: </w:t>
      </w:r>
      <w:r>
        <w:rPr>
          <w:b/>
          <w:bCs/>
          <w:vertAlign w:val="superscript"/>
        </w:rPr>
        <w:t>1</w:t>
      </w:r>
      <w:r>
        <w:rPr>
          <w:b/>
          <w:bCs/>
        </w:rPr>
        <w:t>H NMR spectra of 2-(furan-2-ylmethylene)malononitrile</w:t>
      </w:r>
      <w:r>
        <w:rPr>
          <w:b/>
          <w:bCs/>
          <w:rtl/>
          <w:lang w:bidi="ar-EG"/>
        </w:rPr>
        <w:t xml:space="preserve"> </w:t>
      </w:r>
      <w:r>
        <w:rPr>
          <w:b/>
          <w:bCs/>
        </w:rPr>
        <w:t xml:space="preserve"> (FM)</w:t>
      </w:r>
    </w:p>
    <w:p w14:paraId="6E92D6E0">
      <w:r>
        <w:drawing>
          <wp:anchor distT="0" distB="0" distL="114300" distR="114300" simplePos="0" relativeHeight="251663360" behindDoc="1" locked="0" layoutInCell="1" allowOverlap="1">
            <wp:simplePos x="0" y="0"/>
            <wp:positionH relativeFrom="column">
              <wp:posOffset>-495300</wp:posOffset>
            </wp:positionH>
            <wp:positionV relativeFrom="paragraph">
              <wp:posOffset>121285</wp:posOffset>
            </wp:positionV>
            <wp:extent cx="6897370" cy="3930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a:lum contrast="20000"/>
                      <a:extLst>
                        <a:ext uri="{28A0092B-C50C-407E-A947-70E740481C1C}">
                          <a14:useLocalDpi xmlns:a14="http://schemas.microsoft.com/office/drawing/2010/main" val="0"/>
                        </a:ext>
                      </a:extLst>
                    </a:blip>
                    <a:srcRect/>
                    <a:stretch>
                      <a:fillRect/>
                    </a:stretch>
                  </pic:blipFill>
                  <pic:spPr>
                    <a:xfrm>
                      <a:off x="0" y="0"/>
                      <a:ext cx="6900477" cy="3932555"/>
                    </a:xfrm>
                    <a:prstGeom prst="rect">
                      <a:avLst/>
                    </a:prstGeom>
                    <a:noFill/>
                    <a:ln>
                      <a:noFill/>
                    </a:ln>
                  </pic:spPr>
                </pic:pic>
              </a:graphicData>
            </a:graphic>
          </wp:anchor>
        </w:drawing>
      </w:r>
    </w:p>
    <w:p w14:paraId="124A4BAF"/>
    <w:p w14:paraId="4746393D"/>
    <w:p w14:paraId="6C0EA9A1"/>
    <w:p w14:paraId="098E88D7"/>
    <w:p w14:paraId="3C24639E"/>
    <w:p w14:paraId="5B0E7120">
      <w:r>
        <w:pict>
          <v:shape id="_x0000_s1034" o:spid="_x0000_s1034" o:spt="75" type="#_x0000_t75" style="position:absolute;left:0pt;margin-left:37.45pt;margin-top:17.25pt;height:47.25pt;width:169.5pt;z-index:-251652096;mso-width-relative:page;mso-height-relative:page;" o:ole="t" filled="f" o:preferrelative="t" stroked="f" coordsize="21600,21600">
            <v:path/>
            <v:fill on="f" focussize="0,0"/>
            <v:stroke on="f" joinstyle="miter"/>
            <v:imagedata r:id="rId21" o:title=""/>
            <o:lock v:ext="edit" aspectratio="t"/>
          </v:shape>
          <o:OLEObject Type="Embed" ProgID="ChemDraw.Document.6.0" ShapeID="_x0000_s1034" DrawAspect="Content" ObjectID="_1468075728" r:id="rId20">
            <o:LockedField>false</o:LockedField>
          </o:OLEObject>
        </w:pict>
      </w:r>
    </w:p>
    <w:p w14:paraId="5416B277"/>
    <w:p w14:paraId="05C950E8"/>
    <w:p w14:paraId="1731874F"/>
    <w:p w14:paraId="6220AFEC"/>
    <w:p w14:paraId="1B09E2DA"/>
    <w:p w14:paraId="6550912C"/>
    <w:p w14:paraId="5EDE25DD"/>
    <w:p w14:paraId="0B5F8A2C">
      <w:pPr>
        <w:jc w:val="center"/>
      </w:pPr>
    </w:p>
    <w:p w14:paraId="38386FFE">
      <w:pPr>
        <w:jc w:val="center"/>
        <w:rPr>
          <w:b/>
          <w:bCs/>
        </w:rPr>
      </w:pPr>
      <w:r>
        <w:rPr>
          <w:b/>
          <w:bCs/>
        </w:rPr>
        <w:t>Fig. 4: IR spectra of 1-(furan-2-ylmethylene)-2-phenylhydrazine (FZ).</w:t>
      </w:r>
    </w:p>
    <w:p w14:paraId="682D2848"/>
    <w:p w14:paraId="70A3F409">
      <w:pPr>
        <w:tabs>
          <w:tab w:val="left" w:pos="3240"/>
        </w:tabs>
      </w:pPr>
    </w:p>
    <w:p w14:paraId="5CD5FCCC"/>
    <w:p w14:paraId="184FFDCC">
      <w:r>
        <w:drawing>
          <wp:anchor distT="0" distB="0" distL="114300" distR="114300" simplePos="0" relativeHeight="251669504" behindDoc="1" locked="0" layoutInCell="1" allowOverlap="1">
            <wp:simplePos x="0" y="0"/>
            <wp:positionH relativeFrom="column">
              <wp:posOffset>-330200</wp:posOffset>
            </wp:positionH>
            <wp:positionV relativeFrom="paragraph">
              <wp:posOffset>36830</wp:posOffset>
            </wp:positionV>
            <wp:extent cx="6838950" cy="3054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a:lum contrast="20000"/>
                      <a:extLst>
                        <a:ext uri="{28A0092B-C50C-407E-A947-70E740481C1C}">
                          <a14:useLocalDpi xmlns:a14="http://schemas.microsoft.com/office/drawing/2010/main" val="0"/>
                        </a:ext>
                      </a:extLst>
                    </a:blip>
                    <a:srcRect/>
                    <a:stretch>
                      <a:fillRect/>
                    </a:stretch>
                  </pic:blipFill>
                  <pic:spPr>
                    <a:xfrm>
                      <a:off x="0" y="0"/>
                      <a:ext cx="6846059" cy="3057525"/>
                    </a:xfrm>
                    <a:prstGeom prst="rect">
                      <a:avLst/>
                    </a:prstGeom>
                    <a:noFill/>
                    <a:ln>
                      <a:noFill/>
                    </a:ln>
                  </pic:spPr>
                </pic:pic>
              </a:graphicData>
            </a:graphic>
          </wp:anchor>
        </w:drawing>
      </w:r>
    </w:p>
    <w:p w14:paraId="4FC82CDC"/>
    <w:p w14:paraId="4D6DE523"/>
    <w:p w14:paraId="0BFC5B2A"/>
    <w:p w14:paraId="6B421FDD"/>
    <w:p w14:paraId="62CD57AC"/>
    <w:p w14:paraId="7AA93B05"/>
    <w:p w14:paraId="494A3157"/>
    <w:p w14:paraId="3E53C07B"/>
    <w:p w14:paraId="2E0BFB69"/>
    <w:p w14:paraId="6DB4EEFC"/>
    <w:p w14:paraId="51413C99"/>
    <w:p w14:paraId="4423550F">
      <w:pPr>
        <w:jc w:val="center"/>
        <w:rPr>
          <w:b/>
          <w:bCs/>
        </w:rPr>
      </w:pPr>
      <w:r>
        <w:rPr>
          <w:b/>
          <w:bCs/>
        </w:rPr>
        <w:t xml:space="preserve">Fig. 5: </w:t>
      </w:r>
      <w:r>
        <w:rPr>
          <w:b/>
          <w:bCs/>
          <w:vertAlign w:val="superscript"/>
        </w:rPr>
        <w:t>1</w:t>
      </w:r>
      <w:r>
        <w:rPr>
          <w:b/>
          <w:bCs/>
        </w:rPr>
        <w:t>H NMR spectra of 1-(furan-2-ylmethylene)-2-phenylhydrazine (FZ)</w:t>
      </w:r>
    </w:p>
    <w:p w14:paraId="2C7589D1">
      <w:r>
        <w:drawing>
          <wp:anchor distT="0" distB="0" distL="114300" distR="114300" simplePos="0" relativeHeight="251668480" behindDoc="1" locked="0" layoutInCell="1" allowOverlap="1">
            <wp:simplePos x="0" y="0"/>
            <wp:positionH relativeFrom="column">
              <wp:posOffset>-762000</wp:posOffset>
            </wp:positionH>
            <wp:positionV relativeFrom="paragraph">
              <wp:posOffset>216535</wp:posOffset>
            </wp:positionV>
            <wp:extent cx="7016750" cy="38722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lum contrast="20000"/>
                      <a:extLst>
                        <a:ext uri="{28A0092B-C50C-407E-A947-70E740481C1C}">
                          <a14:useLocalDpi xmlns:a14="http://schemas.microsoft.com/office/drawing/2010/main" val="0"/>
                        </a:ext>
                      </a:extLst>
                    </a:blip>
                    <a:srcRect/>
                    <a:stretch>
                      <a:fillRect/>
                    </a:stretch>
                  </pic:blipFill>
                  <pic:spPr>
                    <a:xfrm>
                      <a:off x="0" y="0"/>
                      <a:ext cx="7016750" cy="3872040"/>
                    </a:xfrm>
                    <a:prstGeom prst="rect">
                      <a:avLst/>
                    </a:prstGeom>
                    <a:noFill/>
                    <a:ln>
                      <a:noFill/>
                    </a:ln>
                  </pic:spPr>
                </pic:pic>
              </a:graphicData>
            </a:graphic>
          </wp:anchor>
        </w:drawing>
      </w:r>
    </w:p>
    <w:p w14:paraId="3434E3E1"/>
    <w:p w14:paraId="6C16F71E"/>
    <w:p w14:paraId="48132592"/>
    <w:p w14:paraId="21952CA1"/>
    <w:p w14:paraId="72DDE71D">
      <w:r>
        <w:t xml:space="preserve">                     </w:t>
      </w:r>
    </w:p>
    <w:p w14:paraId="45F84071"/>
    <w:p w14:paraId="5FCD0118">
      <w:r>
        <w:object>
          <v:shape id="_x0000_i1025" o:spt="75" type="#_x0000_t75" style="height:60.75pt;width:201.75pt;" o:ole="t" filled="f" o:preferrelative="t" stroked="f" coordsize="21600,21600">
            <v:path/>
            <v:fill on="f" focussize="0,0"/>
            <v:stroke on="f" joinstyle="miter"/>
            <v:imagedata r:id="rId25" o:title=""/>
            <o:lock v:ext="edit" aspectratio="t"/>
            <w10:wrap type="none"/>
            <w10:anchorlock/>
          </v:shape>
          <o:OLEObject Type="Embed" ProgID="ChemDraw.Document.6.0" ShapeID="_x0000_i1025" DrawAspect="Content" ObjectID="_1468075729" r:id="rId24">
            <o:LockedField>false</o:LockedField>
          </o:OLEObject>
        </w:object>
      </w:r>
    </w:p>
    <w:p w14:paraId="56AFF1F3"/>
    <w:p w14:paraId="36E1D743"/>
    <w:p w14:paraId="110BF2F8"/>
    <w:p w14:paraId="1274CE77"/>
    <w:p w14:paraId="7A060924">
      <w:r>
        <w:t xml:space="preserve">      </w:t>
      </w:r>
    </w:p>
    <w:p w14:paraId="5499A69C">
      <w:pPr>
        <w:jc w:val="center"/>
        <w:rPr>
          <w:b/>
          <w:bCs/>
        </w:rPr>
      </w:pPr>
      <w:r>
        <w:rPr>
          <w:b/>
          <w:bCs/>
        </w:rPr>
        <w:t>Fig. 6: IR spectra of 1-(4-bromophenyl)-2-(furan-2-ylmethylene)hydrazine (FB).</w:t>
      </w:r>
    </w:p>
    <w:p w14:paraId="2599842B"/>
    <w:p w14:paraId="0D7022C4"/>
    <w:p w14:paraId="21F27513">
      <w:r>
        <w:drawing>
          <wp:anchor distT="0" distB="0" distL="114300" distR="114300" simplePos="0" relativeHeight="251670528" behindDoc="1" locked="0" layoutInCell="1" allowOverlap="1">
            <wp:simplePos x="0" y="0"/>
            <wp:positionH relativeFrom="column">
              <wp:posOffset>-292100</wp:posOffset>
            </wp:positionH>
            <wp:positionV relativeFrom="paragraph">
              <wp:posOffset>144780</wp:posOffset>
            </wp:positionV>
            <wp:extent cx="6731000" cy="3429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lum contrast="20000"/>
                      <a:extLst>
                        <a:ext uri="{28A0092B-C50C-407E-A947-70E740481C1C}">
                          <a14:useLocalDpi xmlns:a14="http://schemas.microsoft.com/office/drawing/2010/main" val="0"/>
                        </a:ext>
                      </a:extLst>
                    </a:blip>
                    <a:srcRect/>
                    <a:stretch>
                      <a:fillRect/>
                    </a:stretch>
                  </pic:blipFill>
                  <pic:spPr>
                    <a:xfrm>
                      <a:off x="0" y="0"/>
                      <a:ext cx="6731000" cy="3429000"/>
                    </a:xfrm>
                    <a:prstGeom prst="rect">
                      <a:avLst/>
                    </a:prstGeom>
                    <a:noFill/>
                    <a:ln>
                      <a:noFill/>
                    </a:ln>
                  </pic:spPr>
                </pic:pic>
              </a:graphicData>
            </a:graphic>
          </wp:anchor>
        </w:drawing>
      </w:r>
      <w:r>
        <w:t xml:space="preserve">   </w:t>
      </w:r>
    </w:p>
    <w:p w14:paraId="6D821265"/>
    <w:p w14:paraId="3208AB3F"/>
    <w:p w14:paraId="119E61C9"/>
    <w:p w14:paraId="041A23F4"/>
    <w:p w14:paraId="79E20980"/>
    <w:p w14:paraId="6F9366BD"/>
    <w:p w14:paraId="04D94871"/>
    <w:p w14:paraId="1EBCBA32"/>
    <w:p w14:paraId="493FCAE8"/>
    <w:p w14:paraId="2F580FB5"/>
    <w:p w14:paraId="605F5C08">
      <w:r>
        <w:t xml:space="preserve"> </w:t>
      </w:r>
    </w:p>
    <w:p w14:paraId="455A9179"/>
    <w:p w14:paraId="71F4DA33">
      <w:pPr>
        <w:jc w:val="center"/>
        <w:rPr>
          <w:b/>
          <w:bCs/>
        </w:rPr>
      </w:pPr>
      <w:r>
        <w:rPr>
          <w:b/>
          <w:bCs/>
        </w:rPr>
        <w:t xml:space="preserve">Fig. 7: </w:t>
      </w:r>
      <w:r>
        <w:rPr>
          <w:b/>
          <w:bCs/>
          <w:vertAlign w:val="superscript"/>
        </w:rPr>
        <w:t>1</w:t>
      </w:r>
      <w:r>
        <w:rPr>
          <w:b/>
          <w:bCs/>
        </w:rPr>
        <w:t>H NMR spectra of 1-(4-bromophenyl)-2-(furan-2-ylmethylene)hydrazine (FB).</w:t>
      </w:r>
    </w:p>
    <w:p w14:paraId="5963D6A7">
      <w:r>
        <w:drawing>
          <wp:anchor distT="0" distB="0" distL="114300" distR="114300" simplePos="0" relativeHeight="251665408" behindDoc="1" locked="0" layoutInCell="1" allowOverlap="1">
            <wp:simplePos x="0" y="0"/>
            <wp:positionH relativeFrom="column">
              <wp:posOffset>-704850</wp:posOffset>
            </wp:positionH>
            <wp:positionV relativeFrom="paragraph">
              <wp:posOffset>95885</wp:posOffset>
            </wp:positionV>
            <wp:extent cx="7600950" cy="36322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a:lum contrast="20000"/>
                      <a:extLst>
                        <a:ext uri="{28A0092B-C50C-407E-A947-70E740481C1C}">
                          <a14:useLocalDpi xmlns:a14="http://schemas.microsoft.com/office/drawing/2010/main" val="0"/>
                        </a:ext>
                      </a:extLst>
                    </a:blip>
                    <a:srcRect/>
                    <a:stretch>
                      <a:fillRect/>
                    </a:stretch>
                  </pic:blipFill>
                  <pic:spPr>
                    <a:xfrm>
                      <a:off x="0" y="0"/>
                      <a:ext cx="7600950" cy="3632200"/>
                    </a:xfrm>
                    <a:prstGeom prst="rect">
                      <a:avLst/>
                    </a:prstGeom>
                    <a:noFill/>
                    <a:ln>
                      <a:noFill/>
                    </a:ln>
                  </pic:spPr>
                </pic:pic>
              </a:graphicData>
            </a:graphic>
          </wp:anchor>
        </w:drawing>
      </w:r>
    </w:p>
    <w:p w14:paraId="662EB5BC"/>
    <w:p w14:paraId="28FECACF"/>
    <w:p w14:paraId="51B7350D"/>
    <w:p w14:paraId="7C7B02FE"/>
    <w:p w14:paraId="162ED139"/>
    <w:p w14:paraId="1D1D306E"/>
    <w:p w14:paraId="03D7B2B2">
      <w:r>
        <w:t xml:space="preserve">                       </w:t>
      </w:r>
      <w:r>
        <w:object>
          <v:shape id="_x0000_i1026" o:spt="75" type="#_x0000_t75" style="height:48pt;width:169.5pt;" o:ole="t" filled="f" o:preferrelative="t" stroked="f" coordsize="21600,21600">
            <v:path/>
            <v:fill on="f" focussize="0,0"/>
            <v:stroke on="f" joinstyle="miter"/>
            <v:imagedata r:id="rId29" o:title=""/>
            <o:lock v:ext="edit" aspectratio="t"/>
            <w10:wrap type="none"/>
            <w10:anchorlock/>
          </v:shape>
          <o:OLEObject Type="Embed" ProgID="ChemDraw.Document.6.0" ShapeID="_x0000_i1026" DrawAspect="Content" ObjectID="_1468075730" r:id="rId28">
            <o:LockedField>false</o:LockedField>
          </o:OLEObject>
        </w:object>
      </w:r>
    </w:p>
    <w:p w14:paraId="04EF1C20">
      <w:r>
        <w:tab/>
      </w:r>
    </w:p>
    <w:p w14:paraId="6416B9B6"/>
    <w:p w14:paraId="3A5F3BE8"/>
    <w:p w14:paraId="17EDDFD7">
      <w:pPr>
        <w:jc w:val="center"/>
      </w:pPr>
    </w:p>
    <w:p w14:paraId="7289F48B">
      <w:pPr>
        <w:jc w:val="center"/>
        <w:rPr>
          <w:b/>
          <w:bCs/>
        </w:rPr>
      </w:pPr>
      <w:r>
        <w:rPr>
          <w:b/>
          <w:bCs/>
        </w:rPr>
        <w:t>Fig. 8: IR spectra of 2-(furan-2-ylmethylene)hydrazine-1-carbothioamide (FC).</w:t>
      </w:r>
    </w:p>
    <w:p w14:paraId="31775A5B"/>
    <w:p w14:paraId="4AD21113"/>
    <w:p w14:paraId="4B9C8CFA">
      <w:r>
        <w:drawing>
          <wp:anchor distT="0" distB="0" distL="114300" distR="114300" simplePos="0" relativeHeight="251661312" behindDoc="1" locked="0" layoutInCell="1" allowOverlap="1">
            <wp:simplePos x="0" y="0"/>
            <wp:positionH relativeFrom="column">
              <wp:posOffset>-254000</wp:posOffset>
            </wp:positionH>
            <wp:positionV relativeFrom="paragraph">
              <wp:posOffset>132080</wp:posOffset>
            </wp:positionV>
            <wp:extent cx="6807200" cy="29127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a:lum contrast="20000"/>
                      <a:extLst>
                        <a:ext uri="{28A0092B-C50C-407E-A947-70E740481C1C}">
                          <a14:useLocalDpi xmlns:a14="http://schemas.microsoft.com/office/drawing/2010/main" val="0"/>
                        </a:ext>
                      </a:extLst>
                    </a:blip>
                    <a:srcRect/>
                    <a:stretch>
                      <a:fillRect/>
                    </a:stretch>
                  </pic:blipFill>
                  <pic:spPr>
                    <a:xfrm>
                      <a:off x="0" y="0"/>
                      <a:ext cx="6807200" cy="2912745"/>
                    </a:xfrm>
                    <a:prstGeom prst="rect">
                      <a:avLst/>
                    </a:prstGeom>
                    <a:noFill/>
                    <a:ln>
                      <a:noFill/>
                    </a:ln>
                  </pic:spPr>
                </pic:pic>
              </a:graphicData>
            </a:graphic>
          </wp:anchor>
        </w:drawing>
      </w:r>
    </w:p>
    <w:p w14:paraId="4FD92577"/>
    <w:p w14:paraId="587F2D7B"/>
    <w:p w14:paraId="2200AD10"/>
    <w:p w14:paraId="0EFC0F70"/>
    <w:p w14:paraId="76E9003E"/>
    <w:p w14:paraId="63BB5271"/>
    <w:p w14:paraId="2456A5EC"/>
    <w:p w14:paraId="2B2825A7"/>
    <w:p w14:paraId="3E39461E"/>
    <w:p w14:paraId="3643CD8F"/>
    <w:p w14:paraId="2DDD8677">
      <w:pPr>
        <w:jc w:val="center"/>
        <w:rPr>
          <w:b/>
          <w:bCs/>
        </w:rPr>
      </w:pPr>
      <w:r>
        <w:rPr>
          <w:b/>
          <w:bCs/>
        </w:rPr>
        <w:t xml:space="preserve">Fig. 9: </w:t>
      </w:r>
      <w:r>
        <w:rPr>
          <w:b/>
          <w:bCs/>
          <w:vertAlign w:val="superscript"/>
        </w:rPr>
        <w:t>1</w:t>
      </w:r>
      <w:r>
        <w:rPr>
          <w:b/>
          <w:bCs/>
        </w:rPr>
        <w:t>H NMR spectra of 2-(furan-2-ylmethylene)hydrazine-1-carbothioamide (FC).</w:t>
      </w:r>
    </w:p>
    <w:p w14:paraId="6B2DAE71">
      <w:r>
        <w:drawing>
          <wp:anchor distT="0" distB="0" distL="114300" distR="114300" simplePos="0" relativeHeight="251666432" behindDoc="1" locked="0" layoutInCell="1" allowOverlap="1">
            <wp:simplePos x="0" y="0"/>
            <wp:positionH relativeFrom="column">
              <wp:posOffset>-254000</wp:posOffset>
            </wp:positionH>
            <wp:positionV relativeFrom="paragraph">
              <wp:posOffset>127000</wp:posOffset>
            </wp:positionV>
            <wp:extent cx="6724650" cy="3854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a:lum contrast="20000"/>
                      <a:extLst>
                        <a:ext uri="{28A0092B-C50C-407E-A947-70E740481C1C}">
                          <a14:useLocalDpi xmlns:a14="http://schemas.microsoft.com/office/drawing/2010/main" val="0"/>
                        </a:ext>
                      </a:extLst>
                    </a:blip>
                    <a:srcRect/>
                    <a:stretch>
                      <a:fillRect/>
                    </a:stretch>
                  </pic:blipFill>
                  <pic:spPr>
                    <a:xfrm>
                      <a:off x="0" y="0"/>
                      <a:ext cx="6727974" cy="3856355"/>
                    </a:xfrm>
                    <a:prstGeom prst="rect">
                      <a:avLst/>
                    </a:prstGeom>
                    <a:noFill/>
                    <a:ln>
                      <a:noFill/>
                    </a:ln>
                  </pic:spPr>
                </pic:pic>
              </a:graphicData>
            </a:graphic>
          </wp:anchor>
        </w:drawing>
      </w:r>
    </w:p>
    <w:p w14:paraId="528A21A8"/>
    <w:p w14:paraId="183A0692"/>
    <w:p w14:paraId="051ACF08"/>
    <w:p w14:paraId="70851E06"/>
    <w:p w14:paraId="3DDDCE41"/>
    <w:p w14:paraId="013E7A0B"/>
    <w:p w14:paraId="54DCB716">
      <w:r>
        <w:t xml:space="preserve">                     </w:t>
      </w:r>
      <w:r>
        <w:object>
          <v:shape id="_x0000_i1027" o:spt="75" type="#_x0000_t75" style="height:42pt;width:188.25pt;" o:ole="t" filled="f" o:preferrelative="t" stroked="f" coordsize="21600,21600">
            <v:path/>
            <v:fill on="f" focussize="0,0"/>
            <v:stroke on="f" joinstyle="miter"/>
            <v:imagedata r:id="rId33" o:title=""/>
            <o:lock v:ext="edit" aspectratio="t"/>
            <w10:wrap type="none"/>
            <w10:anchorlock/>
          </v:shape>
          <o:OLEObject Type="Embed" ProgID="ChemDraw.Document.6.0" ShapeID="_x0000_i1027" DrawAspect="Content" ObjectID="_1468075731" r:id="rId32">
            <o:LockedField>false</o:LockedField>
          </o:OLEObject>
        </w:object>
      </w:r>
    </w:p>
    <w:p w14:paraId="32689E96"/>
    <w:p w14:paraId="7298AC64">
      <w:r>
        <w:t xml:space="preserve">                    </w:t>
      </w:r>
    </w:p>
    <w:p w14:paraId="661A789A"/>
    <w:p w14:paraId="2091AAF3"/>
    <w:p w14:paraId="0F58018D"/>
    <w:p w14:paraId="3E402676"/>
    <w:p w14:paraId="3E104519">
      <w:pPr>
        <w:jc w:val="center"/>
        <w:rPr>
          <w:b/>
          <w:bCs/>
        </w:rPr>
      </w:pPr>
      <w:r>
        <w:rPr>
          <w:b/>
          <w:bCs/>
        </w:rPr>
        <w:t>Fig. 10: IR spectra of 4-(2-(furan-2-ylmethylene)hydrazinyl)benzoic acid (FO).</w:t>
      </w:r>
    </w:p>
    <w:p w14:paraId="1137ADD2"/>
    <w:p w14:paraId="20140DAF"/>
    <w:p w14:paraId="3C5DB57C"/>
    <w:p w14:paraId="720837C0">
      <w:r>
        <w:drawing>
          <wp:anchor distT="0" distB="0" distL="114300" distR="114300" simplePos="0" relativeHeight="251671552" behindDoc="1" locked="0" layoutInCell="1" allowOverlap="1">
            <wp:simplePos x="0" y="0"/>
            <wp:positionH relativeFrom="column">
              <wp:posOffset>-355600</wp:posOffset>
            </wp:positionH>
            <wp:positionV relativeFrom="paragraph">
              <wp:posOffset>62230</wp:posOffset>
            </wp:positionV>
            <wp:extent cx="6927850" cy="3504565"/>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a:lum contrast="20000"/>
                      <a:extLst>
                        <a:ext uri="{28A0092B-C50C-407E-A947-70E740481C1C}">
                          <a14:useLocalDpi xmlns:a14="http://schemas.microsoft.com/office/drawing/2010/main" val="0"/>
                        </a:ext>
                      </a:extLst>
                    </a:blip>
                    <a:srcRect/>
                    <a:stretch>
                      <a:fillRect/>
                    </a:stretch>
                  </pic:blipFill>
                  <pic:spPr>
                    <a:xfrm>
                      <a:off x="0" y="0"/>
                      <a:ext cx="6928651" cy="3505200"/>
                    </a:xfrm>
                    <a:prstGeom prst="rect">
                      <a:avLst/>
                    </a:prstGeom>
                    <a:noFill/>
                    <a:ln>
                      <a:noFill/>
                    </a:ln>
                  </pic:spPr>
                </pic:pic>
              </a:graphicData>
            </a:graphic>
          </wp:anchor>
        </w:drawing>
      </w:r>
    </w:p>
    <w:p w14:paraId="404FBB8F"/>
    <w:p w14:paraId="4DDB2BB3"/>
    <w:p w14:paraId="6C284831"/>
    <w:p w14:paraId="60667BA8"/>
    <w:p w14:paraId="56A2BF9C"/>
    <w:p w14:paraId="3C9DACDF"/>
    <w:p w14:paraId="07FDC1C1"/>
    <w:p w14:paraId="2CFEBB51"/>
    <w:p w14:paraId="4364E0BA"/>
    <w:p w14:paraId="100E124B">
      <w:r>
        <w:tab/>
      </w:r>
    </w:p>
    <w:p w14:paraId="06E08F1B"/>
    <w:p w14:paraId="1C487D1F">
      <w:pPr>
        <w:jc w:val="center"/>
      </w:pPr>
    </w:p>
    <w:p w14:paraId="6DC6072E">
      <w:pPr>
        <w:jc w:val="center"/>
        <w:rPr>
          <w:b/>
          <w:bCs/>
        </w:rPr>
      </w:pPr>
      <w:r>
        <w:rPr>
          <w:b/>
          <w:bCs/>
        </w:rPr>
        <w:t xml:space="preserve">Fig. 11: </w:t>
      </w:r>
      <w:r>
        <w:rPr>
          <w:b/>
          <w:bCs/>
          <w:vertAlign w:val="superscript"/>
        </w:rPr>
        <w:t>1</w:t>
      </w:r>
      <w:r>
        <w:rPr>
          <w:b/>
          <w:bCs/>
        </w:rPr>
        <w:t>H NMR spectra of 4-(2-(furan-2-ylmethylene)hydrazinyl)benzoic acid (FO).</w:t>
      </w:r>
      <w:r>
        <w:rPr>
          <w:b/>
          <w:bCs/>
        </w:rPr>
        <w:drawing>
          <wp:anchor distT="0" distB="0" distL="114300" distR="114300" simplePos="0" relativeHeight="251667456" behindDoc="1" locked="0" layoutInCell="1" allowOverlap="1">
            <wp:simplePos x="0" y="0"/>
            <wp:positionH relativeFrom="column">
              <wp:posOffset>-558800</wp:posOffset>
            </wp:positionH>
            <wp:positionV relativeFrom="paragraph">
              <wp:posOffset>222885</wp:posOffset>
            </wp:positionV>
            <wp:extent cx="6826250" cy="37465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lum contrast="20000"/>
                      <a:extLst>
                        <a:ext uri="{28A0092B-C50C-407E-A947-70E740481C1C}">
                          <a14:useLocalDpi xmlns:a14="http://schemas.microsoft.com/office/drawing/2010/main" val="0"/>
                        </a:ext>
                      </a:extLst>
                    </a:blip>
                    <a:srcRect/>
                    <a:stretch>
                      <a:fillRect/>
                    </a:stretch>
                  </pic:blipFill>
                  <pic:spPr>
                    <a:xfrm>
                      <a:off x="0" y="0"/>
                      <a:ext cx="6826250" cy="3746500"/>
                    </a:xfrm>
                    <a:prstGeom prst="rect">
                      <a:avLst/>
                    </a:prstGeom>
                    <a:noFill/>
                    <a:ln>
                      <a:noFill/>
                    </a:ln>
                  </pic:spPr>
                </pic:pic>
              </a:graphicData>
            </a:graphic>
          </wp:anchor>
        </w:drawing>
      </w:r>
    </w:p>
    <w:p w14:paraId="610E71C9"/>
    <w:p w14:paraId="02301273"/>
    <w:p w14:paraId="094084DF"/>
    <w:p w14:paraId="0B36103F"/>
    <w:p w14:paraId="3419F1F5"/>
    <w:p w14:paraId="62640D9C"/>
    <w:p w14:paraId="336B092B"/>
    <w:p w14:paraId="2C4B74E3">
      <w:r>
        <w:t xml:space="preserve">                       </w:t>
      </w:r>
      <w:r>
        <w:object>
          <v:shape id="_x0000_i1028" o:spt="75" type="#_x0000_t75" style="height:64.5pt;width:173.25pt;" o:ole="t" filled="f" o:preferrelative="t" stroked="f" coordsize="21600,21600">
            <v:path/>
            <v:fill on="f" focussize="0,0"/>
            <v:stroke on="f" joinstyle="miter"/>
            <v:imagedata r:id="rId37" o:title=""/>
            <o:lock v:ext="edit" aspectratio="t"/>
            <w10:wrap type="none"/>
            <w10:anchorlock/>
          </v:shape>
          <o:OLEObject Type="Embed" ProgID="ChemDraw.Document.6.0" ShapeID="_x0000_i1028" DrawAspect="Content" ObjectID="_1468075732" r:id="rId36">
            <o:LockedField>false</o:LockedField>
          </o:OLEObject>
        </w:object>
      </w:r>
    </w:p>
    <w:p w14:paraId="65D00021"/>
    <w:p w14:paraId="77A1DFC1"/>
    <w:p w14:paraId="5B931DB2">
      <w:pPr>
        <w:jc w:val="center"/>
      </w:pPr>
    </w:p>
    <w:p w14:paraId="082EDD76">
      <w:pPr>
        <w:jc w:val="center"/>
        <w:rPr>
          <w:b/>
          <w:bCs/>
        </w:rPr>
      </w:pPr>
      <w:r>
        <w:rPr>
          <w:b/>
          <w:bCs/>
        </w:rPr>
        <w:t>Fig. 12: IR spectra of 2-(2-(furan-2-ylmethylene)hydrazinyl)phenol (FP).</w:t>
      </w:r>
    </w:p>
    <w:p w14:paraId="08F2B8E9">
      <w:pPr>
        <w:rPr>
          <w:b/>
          <w:bCs/>
        </w:rPr>
      </w:pPr>
    </w:p>
    <w:p w14:paraId="62AC693B">
      <w:pPr>
        <w:rPr>
          <w:b/>
          <w:bCs/>
        </w:rPr>
      </w:pPr>
      <w:r>
        <w:drawing>
          <wp:anchor distT="0" distB="0" distL="114300" distR="114300" simplePos="0" relativeHeight="251672576" behindDoc="1" locked="0" layoutInCell="1" allowOverlap="1">
            <wp:simplePos x="0" y="0"/>
            <wp:positionH relativeFrom="column">
              <wp:posOffset>292100</wp:posOffset>
            </wp:positionH>
            <wp:positionV relativeFrom="paragraph">
              <wp:posOffset>279400</wp:posOffset>
            </wp:positionV>
            <wp:extent cx="5076825" cy="2819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a:lum contrast="20000"/>
                      <a:extLst>
                        <a:ext uri="{28A0092B-C50C-407E-A947-70E740481C1C}">
                          <a14:useLocalDpi xmlns:a14="http://schemas.microsoft.com/office/drawing/2010/main" val="0"/>
                        </a:ext>
                      </a:extLst>
                    </a:blip>
                    <a:srcRect/>
                    <a:stretch>
                      <a:fillRect/>
                    </a:stretch>
                  </pic:blipFill>
                  <pic:spPr>
                    <a:xfrm>
                      <a:off x="0" y="0"/>
                      <a:ext cx="5076825" cy="2819400"/>
                    </a:xfrm>
                    <a:prstGeom prst="rect">
                      <a:avLst/>
                    </a:prstGeom>
                    <a:noFill/>
                    <a:ln>
                      <a:noFill/>
                    </a:ln>
                  </pic:spPr>
                </pic:pic>
              </a:graphicData>
            </a:graphic>
          </wp:anchor>
        </w:drawing>
      </w:r>
      <w:r>
        <w:rPr>
          <w:b/>
          <w:bCs/>
        </w:rPr>
        <w:t xml:space="preserve">       </w:t>
      </w:r>
    </w:p>
    <w:p w14:paraId="0B4DEB2E"/>
    <w:p w14:paraId="61211FCB">
      <w:r>
        <w:rPr>
          <w:rFonts w:ascii="Times New Roman" w:hAnsi="Times New Roman" w:eastAsia="Times New Roman" w:cs="Times New Roman"/>
          <w:sz w:val="24"/>
          <w:szCs w:val="24"/>
        </w:rPr>
        <w:drawing>
          <wp:anchor distT="0" distB="0" distL="114300" distR="114300" simplePos="0" relativeHeight="251675648" behindDoc="1" locked="0" layoutInCell="1" allowOverlap="1">
            <wp:simplePos x="0" y="0"/>
            <wp:positionH relativeFrom="column">
              <wp:posOffset>-190500</wp:posOffset>
            </wp:positionH>
            <wp:positionV relativeFrom="paragraph">
              <wp:posOffset>94615</wp:posOffset>
            </wp:positionV>
            <wp:extent cx="6680200" cy="2817495"/>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8">
                      <a:lum contrast="20000"/>
                      <a:extLst>
                        <a:ext uri="{28A0092B-C50C-407E-A947-70E740481C1C}">
                          <a14:useLocalDpi xmlns:a14="http://schemas.microsoft.com/office/drawing/2010/main" val="0"/>
                        </a:ext>
                      </a:extLst>
                    </a:blip>
                    <a:srcRect/>
                    <a:stretch>
                      <a:fillRect/>
                    </a:stretch>
                  </pic:blipFill>
                  <pic:spPr>
                    <a:xfrm>
                      <a:off x="0" y="0"/>
                      <a:ext cx="6680200" cy="2817495"/>
                    </a:xfrm>
                    <a:prstGeom prst="rect">
                      <a:avLst/>
                    </a:prstGeom>
                    <a:noFill/>
                    <a:ln>
                      <a:noFill/>
                    </a:ln>
                  </pic:spPr>
                </pic:pic>
              </a:graphicData>
            </a:graphic>
          </wp:anchor>
        </w:drawing>
      </w:r>
    </w:p>
    <w:p w14:paraId="4ECDA6B5"/>
    <w:p w14:paraId="4281402D"/>
    <w:p w14:paraId="7387D0B1"/>
    <w:p w14:paraId="3C5E080B"/>
    <w:p w14:paraId="7E675D7E"/>
    <w:p w14:paraId="5E7AA042"/>
    <w:p w14:paraId="2162FCFD"/>
    <w:p w14:paraId="6D9036CC"/>
    <w:p w14:paraId="5093157D"/>
    <w:p w14:paraId="35AC2D1C"/>
    <w:p w14:paraId="45008327">
      <w:pPr>
        <w:jc w:val="center"/>
        <w:rPr>
          <w:b/>
          <w:bCs/>
        </w:rPr>
      </w:pPr>
      <w:r>
        <w:rPr>
          <w:b/>
          <w:bCs/>
        </w:rPr>
        <w:t xml:space="preserve">Fig. 13: </w:t>
      </w:r>
      <w:r>
        <w:rPr>
          <w:b/>
          <w:bCs/>
          <w:vertAlign w:val="superscript"/>
        </w:rPr>
        <w:t>1</w:t>
      </w:r>
      <w:r>
        <w:rPr>
          <w:b/>
          <w:bCs/>
        </w:rPr>
        <w:t>H NMR spectra of 2-(2-(furan-2-ylmethylene)hydrazinyl)phenol (FP).</w:t>
      </w:r>
    </w:p>
    <w:p w14:paraId="6E8F7B86">
      <w:pPr>
        <w:spacing w:after="0" w:line="240" w:lineRule="auto"/>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rPr>
        <w:t xml:space="preserve">Table (1): </w:t>
      </w:r>
      <w:r>
        <w:rPr>
          <w:rFonts w:ascii="Times New Roman" w:hAnsi="Times New Roman" w:eastAsia="Times New Roman" w:cs="Times New Roman"/>
          <w:b/>
          <w:bCs/>
          <w:sz w:val="24"/>
          <w:szCs w:val="24"/>
          <w:lang w:eastAsia="ar-SA" w:bidi="ar-EG"/>
        </w:rPr>
        <w:t xml:space="preserve"> Impact of on furfural</w:t>
      </w:r>
      <w:r>
        <w:rPr>
          <w:rFonts w:ascii="Times New Roman" w:hAnsi="Times New Roman" w:eastAsia="Times New Roman" w:cs="Times New Roman"/>
          <w:b/>
          <w:bCs/>
          <w:sz w:val="24"/>
          <w:szCs w:val="24"/>
          <w:u w:val="single"/>
          <w:lang w:eastAsia="ar-SA" w:bidi="ar-EG"/>
        </w:rPr>
        <w:t xml:space="preserve"> </w:t>
      </w:r>
      <w:r>
        <w:rPr>
          <w:rFonts w:ascii="Times New Roman" w:hAnsi="Times New Roman" w:eastAsia="Times New Roman" w:cs="Times New Roman"/>
          <w:b/>
          <w:bCs/>
          <w:sz w:val="24"/>
          <w:szCs w:val="24"/>
          <w:lang w:eastAsia="ar-SA" w:bidi="ar-EG"/>
        </w:rPr>
        <w:t xml:space="preserve">derivatives on Juveniles mortality% of </w:t>
      </w:r>
      <w:r>
        <w:rPr>
          <w:rFonts w:ascii="Times New Roman" w:hAnsi="Times New Roman" w:eastAsia="Times New Roman" w:cs="Times New Roman"/>
          <w:b/>
          <w:bCs/>
          <w:i/>
          <w:iCs/>
          <w:sz w:val="24"/>
          <w:szCs w:val="24"/>
          <w:lang w:eastAsia="ar-SA" w:bidi="ar-EG"/>
        </w:rPr>
        <w:t>Meloidogyne incognita</w:t>
      </w:r>
      <w:r>
        <w:rPr>
          <w:rFonts w:ascii="Times New Roman" w:hAnsi="Times New Roman" w:eastAsia="Times New Roman" w:cs="Times New Roman"/>
          <w:b/>
          <w:bCs/>
          <w:sz w:val="24"/>
          <w:szCs w:val="24"/>
          <w:lang w:eastAsia="ar-SA" w:bidi="ar-EG"/>
        </w:rPr>
        <w:t xml:space="preserve"> (mean±SE).</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041"/>
        <w:gridCol w:w="735"/>
        <w:gridCol w:w="841"/>
        <w:gridCol w:w="841"/>
        <w:gridCol w:w="834"/>
        <w:gridCol w:w="834"/>
        <w:gridCol w:w="834"/>
        <w:gridCol w:w="834"/>
        <w:gridCol w:w="813"/>
      </w:tblGrid>
      <w:tr w14:paraId="211DE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12" w:space="0"/>
            </w:tcBorders>
            <w:shd w:val="clear" w:color="auto" w:fill="auto"/>
            <w:vAlign w:val="center"/>
          </w:tcPr>
          <w:p w14:paraId="1182C2B0">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Treat-ment</w:t>
            </w:r>
          </w:p>
        </w:tc>
        <w:tc>
          <w:tcPr>
            <w:tcW w:w="0" w:type="auto"/>
            <w:vMerge w:val="restart"/>
            <w:tcBorders>
              <w:top w:val="single" w:color="auto" w:sz="12" w:space="0"/>
              <w:right w:val="single" w:color="auto" w:sz="12" w:space="0"/>
            </w:tcBorders>
            <w:shd w:val="clear" w:color="auto" w:fill="auto"/>
            <w:vAlign w:val="center"/>
          </w:tcPr>
          <w:p w14:paraId="607388EA">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Conc.</w:t>
            </w:r>
          </w:p>
          <w:p w14:paraId="4B5874F0">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w:t>
            </w:r>
          </w:p>
        </w:tc>
        <w:tc>
          <w:tcPr>
            <w:tcW w:w="0" w:type="auto"/>
            <w:gridSpan w:val="7"/>
            <w:tcBorders>
              <w:top w:val="single" w:color="auto" w:sz="12" w:space="0"/>
              <w:left w:val="single" w:color="auto" w:sz="12" w:space="0"/>
              <w:bottom w:val="single" w:color="auto" w:sz="4" w:space="0"/>
              <w:right w:val="single" w:color="auto" w:sz="12" w:space="0"/>
            </w:tcBorders>
            <w:shd w:val="clear" w:color="auto" w:fill="auto"/>
            <w:vAlign w:val="center"/>
          </w:tcPr>
          <w:p w14:paraId="1B8B05AA">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rPr>
              <w:t>Period (hrs.)</w:t>
            </w:r>
          </w:p>
        </w:tc>
        <w:tc>
          <w:tcPr>
            <w:tcW w:w="0" w:type="auto"/>
            <w:vMerge w:val="restart"/>
            <w:tcBorders>
              <w:top w:val="single" w:color="auto" w:sz="12" w:space="0"/>
              <w:left w:val="single" w:color="auto" w:sz="12" w:space="0"/>
            </w:tcBorders>
            <w:shd w:val="clear" w:color="auto" w:fill="auto"/>
          </w:tcPr>
          <w:p w14:paraId="3F650281">
            <w:pPr>
              <w:spacing w:after="0" w:line="240" w:lineRule="auto"/>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Mean</w:t>
            </w:r>
          </w:p>
        </w:tc>
      </w:tr>
      <w:tr w14:paraId="46007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bottom w:val="single" w:color="auto" w:sz="12" w:space="0"/>
            </w:tcBorders>
            <w:shd w:val="clear" w:color="auto" w:fill="auto"/>
            <w:vAlign w:val="center"/>
          </w:tcPr>
          <w:p w14:paraId="144409C1">
            <w:pPr>
              <w:spacing w:after="0" w:line="240" w:lineRule="auto"/>
              <w:jc w:val="center"/>
              <w:rPr>
                <w:rFonts w:ascii="Times New Roman" w:hAnsi="Times New Roman" w:eastAsia="Times New Roman" w:cs="Times New Roman"/>
                <w:b/>
                <w:bCs/>
                <w:sz w:val="20"/>
                <w:szCs w:val="20"/>
                <w:lang w:eastAsia="ar-SA" w:bidi="ar-EG"/>
              </w:rPr>
            </w:pPr>
          </w:p>
        </w:tc>
        <w:tc>
          <w:tcPr>
            <w:tcW w:w="0" w:type="auto"/>
            <w:vMerge w:val="continue"/>
            <w:tcBorders>
              <w:bottom w:val="single" w:color="auto" w:sz="12" w:space="0"/>
              <w:right w:val="single" w:color="auto" w:sz="12" w:space="0"/>
            </w:tcBorders>
            <w:shd w:val="clear" w:color="auto" w:fill="auto"/>
            <w:vAlign w:val="center"/>
          </w:tcPr>
          <w:p w14:paraId="1136EE55">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top w:val="single" w:color="auto" w:sz="4" w:space="0"/>
              <w:left w:val="single" w:color="auto" w:sz="12" w:space="0"/>
              <w:bottom w:val="single" w:color="auto" w:sz="12" w:space="0"/>
            </w:tcBorders>
            <w:shd w:val="clear" w:color="auto" w:fill="auto"/>
            <w:vAlign w:val="center"/>
          </w:tcPr>
          <w:p w14:paraId="0361F5B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w:t>
            </w:r>
          </w:p>
        </w:tc>
        <w:tc>
          <w:tcPr>
            <w:tcW w:w="0" w:type="auto"/>
            <w:tcBorders>
              <w:top w:val="single" w:color="auto" w:sz="4" w:space="0"/>
              <w:bottom w:val="single" w:color="auto" w:sz="12" w:space="0"/>
            </w:tcBorders>
            <w:shd w:val="clear" w:color="auto" w:fill="auto"/>
            <w:vAlign w:val="center"/>
          </w:tcPr>
          <w:p w14:paraId="601C483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0.5</w:t>
            </w:r>
          </w:p>
        </w:tc>
        <w:tc>
          <w:tcPr>
            <w:tcW w:w="0" w:type="auto"/>
            <w:tcBorders>
              <w:top w:val="single" w:color="auto" w:sz="4" w:space="0"/>
              <w:bottom w:val="single" w:color="auto" w:sz="12" w:space="0"/>
            </w:tcBorders>
            <w:shd w:val="clear" w:color="auto" w:fill="auto"/>
            <w:vAlign w:val="center"/>
          </w:tcPr>
          <w:p w14:paraId="380B64E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w:t>
            </w:r>
          </w:p>
        </w:tc>
        <w:tc>
          <w:tcPr>
            <w:tcW w:w="0" w:type="auto"/>
            <w:tcBorders>
              <w:top w:val="single" w:color="auto" w:sz="4" w:space="0"/>
              <w:bottom w:val="single" w:color="auto" w:sz="12" w:space="0"/>
            </w:tcBorders>
            <w:shd w:val="clear" w:color="auto" w:fill="auto"/>
            <w:vAlign w:val="center"/>
          </w:tcPr>
          <w:p w14:paraId="282B0CF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w:t>
            </w:r>
          </w:p>
        </w:tc>
        <w:tc>
          <w:tcPr>
            <w:tcW w:w="0" w:type="auto"/>
            <w:tcBorders>
              <w:top w:val="single" w:color="auto" w:sz="4" w:space="0"/>
              <w:bottom w:val="single" w:color="auto" w:sz="12" w:space="0"/>
            </w:tcBorders>
            <w:shd w:val="clear" w:color="auto" w:fill="auto"/>
            <w:vAlign w:val="center"/>
          </w:tcPr>
          <w:p w14:paraId="169C72A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w:t>
            </w:r>
          </w:p>
        </w:tc>
        <w:tc>
          <w:tcPr>
            <w:tcW w:w="0" w:type="auto"/>
            <w:tcBorders>
              <w:top w:val="single" w:color="auto" w:sz="4" w:space="0"/>
              <w:bottom w:val="single" w:color="auto" w:sz="12" w:space="0"/>
            </w:tcBorders>
            <w:shd w:val="clear" w:color="auto" w:fill="auto"/>
            <w:vAlign w:val="center"/>
          </w:tcPr>
          <w:p w14:paraId="0AE69F1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w:t>
            </w:r>
          </w:p>
        </w:tc>
        <w:tc>
          <w:tcPr>
            <w:tcW w:w="0" w:type="auto"/>
            <w:tcBorders>
              <w:top w:val="single" w:color="auto" w:sz="4" w:space="0"/>
              <w:bottom w:val="single" w:color="auto" w:sz="12" w:space="0"/>
              <w:right w:val="single" w:color="auto" w:sz="12" w:space="0"/>
            </w:tcBorders>
            <w:shd w:val="clear" w:color="auto" w:fill="auto"/>
            <w:vAlign w:val="center"/>
          </w:tcPr>
          <w:p w14:paraId="4C7156C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24</w:t>
            </w:r>
          </w:p>
        </w:tc>
        <w:tc>
          <w:tcPr>
            <w:tcW w:w="0" w:type="auto"/>
            <w:vMerge w:val="continue"/>
            <w:tcBorders>
              <w:left w:val="single" w:color="auto" w:sz="12" w:space="0"/>
              <w:bottom w:val="single" w:color="auto" w:sz="12" w:space="0"/>
            </w:tcBorders>
            <w:shd w:val="clear" w:color="auto" w:fill="auto"/>
          </w:tcPr>
          <w:p w14:paraId="331BA11C">
            <w:pPr>
              <w:spacing w:after="0" w:line="240" w:lineRule="auto"/>
              <w:rPr>
                <w:rFonts w:ascii="Times New Roman" w:hAnsi="Times New Roman" w:eastAsia="Times New Roman" w:cs="Times New Roman"/>
                <w:b/>
                <w:bCs/>
                <w:color w:val="FF0000"/>
                <w:sz w:val="20"/>
                <w:szCs w:val="20"/>
                <w:lang w:eastAsia="ar-SA" w:bidi="ar-EG"/>
              </w:rPr>
            </w:pPr>
          </w:p>
        </w:tc>
      </w:tr>
      <w:tr w14:paraId="56BCF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12" w:space="0"/>
            </w:tcBorders>
            <w:shd w:val="clear" w:color="auto" w:fill="auto"/>
            <w:vAlign w:val="center"/>
          </w:tcPr>
          <w:p w14:paraId="19DD9492">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FM</w:t>
            </w:r>
          </w:p>
        </w:tc>
        <w:tc>
          <w:tcPr>
            <w:tcW w:w="0" w:type="auto"/>
            <w:tcBorders>
              <w:top w:val="single" w:color="auto" w:sz="12" w:space="0"/>
              <w:right w:val="single" w:color="auto" w:sz="12" w:space="0"/>
            </w:tcBorders>
            <w:shd w:val="clear" w:color="auto" w:fill="auto"/>
            <w:vAlign w:val="center"/>
          </w:tcPr>
          <w:p w14:paraId="64996D6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top w:val="single" w:color="auto" w:sz="12" w:space="0"/>
              <w:left w:val="single" w:color="auto" w:sz="12" w:space="0"/>
            </w:tcBorders>
            <w:shd w:val="clear" w:color="auto" w:fill="auto"/>
            <w:vAlign w:val="center"/>
          </w:tcPr>
          <w:p w14:paraId="6D078D8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aC</w:t>
            </w:r>
          </w:p>
        </w:tc>
        <w:tc>
          <w:tcPr>
            <w:tcW w:w="0" w:type="auto"/>
            <w:tcBorders>
              <w:top w:val="single" w:color="auto" w:sz="12" w:space="0"/>
            </w:tcBorders>
            <w:shd w:val="clear" w:color="auto" w:fill="auto"/>
            <w:vAlign w:val="center"/>
          </w:tcPr>
          <w:p w14:paraId="55CDE8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75.67</w:t>
            </w:r>
          </w:p>
          <w:p w14:paraId="574A7EC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±5.23</w:t>
            </w:r>
            <w:r>
              <w:rPr>
                <w:rFonts w:ascii="Times New Roman" w:hAnsi="Times New Roman" w:eastAsia="Times New Roman" w:cs="Times New Roman"/>
                <w:b/>
                <w:bCs/>
                <w:sz w:val="20"/>
                <w:szCs w:val="20"/>
                <w:vertAlign w:val="superscript"/>
              </w:rPr>
              <w:t>aB</w:t>
            </w:r>
          </w:p>
        </w:tc>
        <w:tc>
          <w:tcPr>
            <w:tcW w:w="0" w:type="auto"/>
            <w:tcBorders>
              <w:top w:val="single" w:color="auto" w:sz="12" w:space="0"/>
            </w:tcBorders>
            <w:shd w:val="clear" w:color="auto" w:fill="auto"/>
            <w:vAlign w:val="center"/>
          </w:tcPr>
          <w:p w14:paraId="5FED666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17EC21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top w:val="single" w:color="auto" w:sz="12" w:space="0"/>
            </w:tcBorders>
            <w:shd w:val="clear" w:color="auto" w:fill="auto"/>
            <w:vAlign w:val="center"/>
          </w:tcPr>
          <w:p w14:paraId="66E9583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0EAA1C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top w:val="single" w:color="auto" w:sz="12" w:space="0"/>
            </w:tcBorders>
            <w:shd w:val="clear" w:color="auto" w:fill="auto"/>
            <w:vAlign w:val="center"/>
          </w:tcPr>
          <w:p w14:paraId="644D410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2C4C5C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top w:val="single" w:color="auto" w:sz="12" w:space="0"/>
            </w:tcBorders>
            <w:shd w:val="clear" w:color="auto" w:fill="auto"/>
            <w:vAlign w:val="center"/>
          </w:tcPr>
          <w:p w14:paraId="51E3E5B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EEF89F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top w:val="single" w:color="auto" w:sz="12" w:space="0"/>
              <w:right w:val="single" w:color="auto" w:sz="12" w:space="0"/>
            </w:tcBorders>
            <w:shd w:val="clear" w:color="auto" w:fill="auto"/>
            <w:vAlign w:val="center"/>
          </w:tcPr>
          <w:p w14:paraId="368C072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4FBD8E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top w:val="single" w:color="auto" w:sz="12" w:space="0"/>
              <w:left w:val="single" w:color="auto" w:sz="12" w:space="0"/>
            </w:tcBorders>
            <w:shd w:val="clear" w:color="auto" w:fill="FFFF00"/>
            <w:vAlign w:val="bottom"/>
          </w:tcPr>
          <w:p w14:paraId="3CBE1A4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82.24</w:t>
            </w:r>
          </w:p>
          <w:p w14:paraId="6402B3EA">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±4.72</w:t>
            </w:r>
            <w:r>
              <w:rPr>
                <w:rFonts w:ascii="Times New Roman" w:hAnsi="Times New Roman" w:eastAsia="Times New Roman" w:cs="Times New Roman"/>
                <w:b/>
                <w:bCs/>
                <w:color w:val="FF0000"/>
                <w:sz w:val="20"/>
                <w:szCs w:val="20"/>
                <w:vertAlign w:val="superscript"/>
              </w:rPr>
              <w:t>a</w:t>
            </w:r>
          </w:p>
        </w:tc>
      </w:tr>
      <w:tr w14:paraId="1D30C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29B3A236">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6B62C82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0. 75</w:t>
            </w:r>
          </w:p>
        </w:tc>
        <w:tc>
          <w:tcPr>
            <w:tcW w:w="0" w:type="auto"/>
            <w:tcBorders>
              <w:left w:val="single" w:color="auto" w:sz="12" w:space="0"/>
            </w:tcBorders>
            <w:shd w:val="clear" w:color="auto" w:fill="auto"/>
            <w:vAlign w:val="center"/>
          </w:tcPr>
          <w:p w14:paraId="47A59ED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37CC798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49.46</w:t>
            </w:r>
          </w:p>
          <w:p w14:paraId="3A5FD3F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±3.48</w:t>
            </w:r>
            <w:r>
              <w:rPr>
                <w:rFonts w:ascii="Times New Roman" w:hAnsi="Times New Roman" w:eastAsia="Times New Roman" w:cs="Times New Roman"/>
                <w:b/>
                <w:bCs/>
                <w:sz w:val="20"/>
                <w:szCs w:val="20"/>
                <w:vertAlign w:val="superscript"/>
              </w:rPr>
              <w:t>cC</w:t>
            </w:r>
          </w:p>
        </w:tc>
        <w:tc>
          <w:tcPr>
            <w:tcW w:w="0" w:type="auto"/>
            <w:shd w:val="clear" w:color="auto" w:fill="auto"/>
            <w:vAlign w:val="center"/>
          </w:tcPr>
          <w:p w14:paraId="095377F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84.25</w:t>
            </w:r>
          </w:p>
          <w:p w14:paraId="622EBC7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±5.00</w:t>
            </w:r>
            <w:r>
              <w:rPr>
                <w:rFonts w:ascii="Times New Roman" w:hAnsi="Times New Roman" w:eastAsia="Times New Roman" w:cs="Times New Roman"/>
                <w:b/>
                <w:bCs/>
                <w:sz w:val="20"/>
                <w:szCs w:val="20"/>
                <w:vertAlign w:val="superscript"/>
              </w:rPr>
              <w:t>bB</w:t>
            </w:r>
          </w:p>
        </w:tc>
        <w:tc>
          <w:tcPr>
            <w:tcW w:w="0" w:type="auto"/>
            <w:shd w:val="clear" w:color="auto" w:fill="auto"/>
            <w:vAlign w:val="center"/>
          </w:tcPr>
          <w:p w14:paraId="35FFEFE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6A2406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098CF1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F28FFE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62ED808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C69A06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0B3A661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A6AF9F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550527E4">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76.24</w:t>
            </w:r>
          </w:p>
          <w:p w14:paraId="41D82C8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±4.86</w:t>
            </w:r>
            <w:r>
              <w:rPr>
                <w:rFonts w:ascii="Times New Roman" w:hAnsi="Times New Roman" w:eastAsia="Times New Roman" w:cs="Times New Roman"/>
                <w:b/>
                <w:bCs/>
                <w:color w:val="FF0000"/>
                <w:sz w:val="20"/>
                <w:szCs w:val="20"/>
                <w:vertAlign w:val="superscript"/>
              </w:rPr>
              <w:t>b</w:t>
            </w:r>
          </w:p>
        </w:tc>
      </w:tr>
      <w:tr w14:paraId="07B97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73CAD9BA">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480F996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0. 375</w:t>
            </w:r>
          </w:p>
        </w:tc>
        <w:tc>
          <w:tcPr>
            <w:tcW w:w="0" w:type="auto"/>
            <w:tcBorders>
              <w:left w:val="single" w:color="auto" w:sz="12" w:space="0"/>
            </w:tcBorders>
            <w:shd w:val="clear" w:color="auto" w:fill="auto"/>
            <w:vAlign w:val="center"/>
          </w:tcPr>
          <w:p w14:paraId="197DB0C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05F4B03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20.17</w:t>
            </w:r>
          </w:p>
          <w:p w14:paraId="171A197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±2.17</w:t>
            </w:r>
            <w:r>
              <w:rPr>
                <w:rFonts w:ascii="Times New Roman" w:hAnsi="Times New Roman" w:eastAsia="Times New Roman" w:cs="Times New Roman"/>
                <w:b/>
                <w:bCs/>
                <w:sz w:val="20"/>
                <w:szCs w:val="20"/>
                <w:vertAlign w:val="superscript"/>
              </w:rPr>
              <w:t>eC</w:t>
            </w:r>
          </w:p>
        </w:tc>
        <w:tc>
          <w:tcPr>
            <w:tcW w:w="0" w:type="auto"/>
            <w:shd w:val="clear" w:color="auto" w:fill="auto"/>
            <w:vAlign w:val="center"/>
          </w:tcPr>
          <w:p w14:paraId="5F4F7CA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49.96</w:t>
            </w:r>
          </w:p>
          <w:p w14:paraId="076E537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±6.43</w:t>
            </w:r>
            <w:r>
              <w:rPr>
                <w:rFonts w:ascii="Times New Roman" w:hAnsi="Times New Roman" w:eastAsia="Times New Roman" w:cs="Times New Roman"/>
                <w:b/>
                <w:bCs/>
                <w:sz w:val="20"/>
                <w:szCs w:val="20"/>
                <w:vertAlign w:val="superscript"/>
              </w:rPr>
              <w:t>gB</w:t>
            </w:r>
          </w:p>
        </w:tc>
        <w:tc>
          <w:tcPr>
            <w:tcW w:w="0" w:type="auto"/>
            <w:shd w:val="clear" w:color="auto" w:fill="auto"/>
            <w:vAlign w:val="center"/>
          </w:tcPr>
          <w:p w14:paraId="2E84973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FA98EB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16D4E0B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FBE9FD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4F067AC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6A2152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5312CE6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385906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0601755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67.16</w:t>
            </w:r>
          </w:p>
          <w:p w14:paraId="0100689A">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±5.50</w:t>
            </w:r>
            <w:r>
              <w:rPr>
                <w:rFonts w:ascii="Times New Roman" w:hAnsi="Times New Roman" w:eastAsia="Times New Roman" w:cs="Times New Roman"/>
                <w:b/>
                <w:bCs/>
                <w:color w:val="FF0000"/>
                <w:sz w:val="20"/>
                <w:szCs w:val="20"/>
                <w:vertAlign w:val="superscript"/>
              </w:rPr>
              <w:t>d</w:t>
            </w:r>
          </w:p>
        </w:tc>
      </w:tr>
      <w:tr w14:paraId="4D256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718CB8C3">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FZ</w:t>
            </w:r>
          </w:p>
        </w:tc>
        <w:tc>
          <w:tcPr>
            <w:tcW w:w="0" w:type="auto"/>
            <w:tcBorders>
              <w:right w:val="single" w:color="auto" w:sz="12" w:space="0"/>
            </w:tcBorders>
            <w:shd w:val="clear" w:color="auto" w:fill="auto"/>
            <w:vAlign w:val="center"/>
          </w:tcPr>
          <w:p w14:paraId="3E990D5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left w:val="single" w:color="auto" w:sz="12" w:space="0"/>
            </w:tcBorders>
            <w:shd w:val="clear" w:color="auto" w:fill="auto"/>
            <w:vAlign w:val="center"/>
          </w:tcPr>
          <w:p w14:paraId="10A15B1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193103D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49.92</w:t>
            </w:r>
          </w:p>
          <w:p w14:paraId="086DDBB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±2.77</w:t>
            </w:r>
            <w:r>
              <w:rPr>
                <w:rFonts w:ascii="Times New Roman" w:hAnsi="Times New Roman" w:eastAsia="Times New Roman" w:cs="Times New Roman"/>
                <w:b/>
                <w:bCs/>
                <w:sz w:val="20"/>
                <w:szCs w:val="20"/>
                <w:vertAlign w:val="superscript"/>
              </w:rPr>
              <w:t>cC</w:t>
            </w:r>
          </w:p>
        </w:tc>
        <w:tc>
          <w:tcPr>
            <w:tcW w:w="0" w:type="auto"/>
            <w:shd w:val="clear" w:color="auto" w:fill="auto"/>
            <w:vAlign w:val="center"/>
          </w:tcPr>
          <w:p w14:paraId="7993290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80.92</w:t>
            </w:r>
          </w:p>
          <w:p w14:paraId="1D994C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±7.55</w:t>
            </w:r>
            <w:r>
              <w:rPr>
                <w:rFonts w:ascii="Times New Roman" w:hAnsi="Times New Roman" w:eastAsia="Times New Roman" w:cs="Times New Roman"/>
                <w:b/>
                <w:bCs/>
                <w:sz w:val="20"/>
                <w:szCs w:val="20"/>
                <w:vertAlign w:val="superscript"/>
              </w:rPr>
              <w:t>cB</w:t>
            </w:r>
          </w:p>
        </w:tc>
        <w:tc>
          <w:tcPr>
            <w:tcW w:w="0" w:type="auto"/>
            <w:shd w:val="clear" w:color="auto" w:fill="auto"/>
            <w:vAlign w:val="center"/>
          </w:tcPr>
          <w:p w14:paraId="1D059C3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B46488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25A95B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82DE8B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1444A10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7E22B0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2A99D98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B3AE10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4CD82409">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75.83</w:t>
            </w:r>
          </w:p>
          <w:p w14:paraId="1AEB3A39">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±4.9</w:t>
            </w:r>
            <w:r>
              <w:rPr>
                <w:rFonts w:ascii="Times New Roman" w:hAnsi="Times New Roman" w:eastAsia="Times New Roman" w:cs="Times New Roman"/>
                <w:b/>
                <w:bCs/>
                <w:color w:val="FF0000"/>
                <w:sz w:val="20"/>
                <w:szCs w:val="20"/>
                <w:vertAlign w:val="superscript"/>
              </w:rPr>
              <w:t>b</w:t>
            </w:r>
          </w:p>
        </w:tc>
      </w:tr>
      <w:tr w14:paraId="47D0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2EA3E8AA">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61219C4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0" w:type="auto"/>
            <w:tcBorders>
              <w:left w:val="single" w:color="auto" w:sz="12" w:space="0"/>
            </w:tcBorders>
            <w:shd w:val="clear" w:color="auto" w:fill="auto"/>
            <w:vAlign w:val="center"/>
          </w:tcPr>
          <w:p w14:paraId="6174ED1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5DB8660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33.96</w:t>
            </w:r>
          </w:p>
          <w:p w14:paraId="062E9F6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±2.68</w:t>
            </w:r>
            <w:r>
              <w:rPr>
                <w:rFonts w:ascii="Times New Roman" w:hAnsi="Times New Roman" w:eastAsia="Times New Roman" w:cs="Times New Roman"/>
                <w:b/>
                <w:bCs/>
                <w:sz w:val="20"/>
                <w:szCs w:val="20"/>
                <w:vertAlign w:val="superscript"/>
              </w:rPr>
              <w:t>dC</w:t>
            </w:r>
          </w:p>
        </w:tc>
        <w:tc>
          <w:tcPr>
            <w:tcW w:w="0" w:type="auto"/>
            <w:shd w:val="clear" w:color="auto" w:fill="auto"/>
            <w:vAlign w:val="center"/>
          </w:tcPr>
          <w:p w14:paraId="45A677E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75.13</w:t>
            </w:r>
          </w:p>
          <w:p w14:paraId="1E53B7C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±6.10</w:t>
            </w:r>
            <w:r>
              <w:rPr>
                <w:rFonts w:ascii="Times New Roman" w:hAnsi="Times New Roman" w:eastAsia="Times New Roman" w:cs="Times New Roman"/>
                <w:b/>
                <w:bCs/>
                <w:sz w:val="20"/>
                <w:szCs w:val="20"/>
                <w:vertAlign w:val="superscript"/>
              </w:rPr>
              <w:t>dB</w:t>
            </w:r>
          </w:p>
        </w:tc>
        <w:tc>
          <w:tcPr>
            <w:tcW w:w="0" w:type="auto"/>
            <w:shd w:val="clear" w:color="auto" w:fill="auto"/>
            <w:vAlign w:val="center"/>
          </w:tcPr>
          <w:p w14:paraId="0CBF4B9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1C33C4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9EBCBD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5F756A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CC478A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855375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5838156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A9A481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0BCB95B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72.73</w:t>
            </w:r>
          </w:p>
          <w:p w14:paraId="1C3C13C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±5.12</w:t>
            </w:r>
            <w:r>
              <w:rPr>
                <w:rFonts w:ascii="Times New Roman" w:hAnsi="Times New Roman" w:eastAsia="Times New Roman" w:cs="Times New Roman"/>
                <w:b/>
                <w:bCs/>
                <w:color w:val="FF0000"/>
                <w:sz w:val="20"/>
                <w:szCs w:val="20"/>
                <w:vertAlign w:val="superscript"/>
              </w:rPr>
              <w:t>c</w:t>
            </w:r>
          </w:p>
        </w:tc>
      </w:tr>
      <w:tr w14:paraId="3AE53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291A6691">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74DD82F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0" w:type="auto"/>
            <w:tcBorders>
              <w:left w:val="single" w:color="auto" w:sz="12" w:space="0"/>
            </w:tcBorders>
            <w:shd w:val="clear" w:color="auto" w:fill="auto"/>
            <w:vAlign w:val="center"/>
          </w:tcPr>
          <w:p w14:paraId="70F64A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3384769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20.00</w:t>
            </w:r>
          </w:p>
          <w:p w14:paraId="7BC782C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±1.42</w:t>
            </w:r>
            <w:r>
              <w:rPr>
                <w:rFonts w:ascii="Times New Roman" w:hAnsi="Times New Roman" w:eastAsia="Times New Roman" w:cs="Times New Roman"/>
                <w:b/>
                <w:bCs/>
                <w:sz w:val="20"/>
                <w:szCs w:val="20"/>
                <w:vertAlign w:val="superscript"/>
              </w:rPr>
              <w:t>eC</w:t>
            </w:r>
          </w:p>
        </w:tc>
        <w:tc>
          <w:tcPr>
            <w:tcW w:w="0" w:type="auto"/>
            <w:shd w:val="clear" w:color="auto" w:fill="auto"/>
            <w:vAlign w:val="center"/>
          </w:tcPr>
          <w:p w14:paraId="2FF033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50.04</w:t>
            </w:r>
          </w:p>
          <w:p w14:paraId="2D030BB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±6.07</w:t>
            </w:r>
            <w:r>
              <w:rPr>
                <w:rFonts w:ascii="Times New Roman" w:hAnsi="Times New Roman" w:eastAsia="Times New Roman" w:cs="Times New Roman"/>
                <w:b/>
                <w:bCs/>
                <w:sz w:val="20"/>
                <w:szCs w:val="20"/>
                <w:vertAlign w:val="superscript"/>
              </w:rPr>
              <w:t>gB</w:t>
            </w:r>
          </w:p>
        </w:tc>
        <w:tc>
          <w:tcPr>
            <w:tcW w:w="0" w:type="auto"/>
            <w:shd w:val="clear" w:color="auto" w:fill="auto"/>
            <w:vAlign w:val="center"/>
          </w:tcPr>
          <w:p w14:paraId="68E44DA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984F7E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1D26739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72E380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7329721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80B94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0F3EAED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2C6942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472E3D10">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67.15</w:t>
            </w:r>
          </w:p>
          <w:p w14:paraId="53E95EC3">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±5.49</w:t>
            </w:r>
            <w:r>
              <w:rPr>
                <w:rFonts w:ascii="Times New Roman" w:hAnsi="Times New Roman" w:eastAsia="Times New Roman" w:cs="Times New Roman"/>
                <w:b/>
                <w:bCs/>
                <w:color w:val="FF0000"/>
                <w:sz w:val="20"/>
                <w:szCs w:val="20"/>
                <w:vertAlign w:val="superscript"/>
              </w:rPr>
              <w:t>d</w:t>
            </w:r>
          </w:p>
        </w:tc>
      </w:tr>
      <w:tr w14:paraId="7CD14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05A5696E">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FB</w:t>
            </w:r>
          </w:p>
        </w:tc>
        <w:tc>
          <w:tcPr>
            <w:tcW w:w="0" w:type="auto"/>
            <w:tcBorders>
              <w:right w:val="single" w:color="auto" w:sz="12" w:space="0"/>
            </w:tcBorders>
            <w:shd w:val="clear" w:color="auto" w:fill="auto"/>
            <w:vAlign w:val="center"/>
          </w:tcPr>
          <w:p w14:paraId="35CA641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left w:val="single" w:color="auto" w:sz="12" w:space="0"/>
            </w:tcBorders>
            <w:shd w:val="clear" w:color="auto" w:fill="auto"/>
            <w:vAlign w:val="center"/>
          </w:tcPr>
          <w:p w14:paraId="306EE35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2913FBF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7EB5DC2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40.13</w:t>
            </w:r>
          </w:p>
          <w:p w14:paraId="21CC224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±3.91</w:t>
            </w:r>
            <w:r>
              <w:rPr>
                <w:rFonts w:ascii="Times New Roman" w:hAnsi="Times New Roman" w:eastAsia="Times New Roman" w:cs="Times New Roman"/>
                <w:b/>
                <w:bCs/>
                <w:sz w:val="20"/>
                <w:szCs w:val="20"/>
                <w:vertAlign w:val="superscript"/>
              </w:rPr>
              <w:t>hC</w:t>
            </w:r>
          </w:p>
        </w:tc>
        <w:tc>
          <w:tcPr>
            <w:tcW w:w="0" w:type="auto"/>
            <w:shd w:val="clear" w:color="auto" w:fill="auto"/>
            <w:vAlign w:val="center"/>
          </w:tcPr>
          <w:p w14:paraId="2F4B002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50.21</w:t>
            </w:r>
          </w:p>
          <w:p w14:paraId="6B51277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±4.20</w:t>
            </w:r>
            <w:r>
              <w:rPr>
                <w:rFonts w:ascii="Times New Roman" w:hAnsi="Times New Roman" w:eastAsia="Times New Roman" w:cs="Times New Roman"/>
                <w:b/>
                <w:bCs/>
                <w:sz w:val="20"/>
                <w:szCs w:val="20"/>
                <w:vertAlign w:val="superscript"/>
              </w:rPr>
              <w:t>bB</w:t>
            </w:r>
          </w:p>
        </w:tc>
        <w:tc>
          <w:tcPr>
            <w:tcW w:w="0" w:type="auto"/>
            <w:shd w:val="clear" w:color="auto" w:fill="auto"/>
            <w:vAlign w:val="center"/>
          </w:tcPr>
          <w:p w14:paraId="2363D78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84FFAA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F50DE9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C7850F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4EC64B0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83A043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54C0B1A8">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55.76</w:t>
            </w:r>
          </w:p>
          <w:p w14:paraId="7F6C67A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±5.72</w:t>
            </w:r>
            <w:r>
              <w:rPr>
                <w:rFonts w:ascii="Times New Roman" w:hAnsi="Times New Roman" w:eastAsia="Times New Roman" w:cs="Times New Roman"/>
                <w:b/>
                <w:bCs/>
                <w:color w:val="FF0000"/>
                <w:sz w:val="20"/>
                <w:szCs w:val="20"/>
                <w:vertAlign w:val="superscript"/>
              </w:rPr>
              <w:t>e</w:t>
            </w:r>
          </w:p>
        </w:tc>
      </w:tr>
      <w:tr w14:paraId="7457E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02CC3D1A">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7050CC8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0" w:type="auto"/>
            <w:tcBorders>
              <w:left w:val="single" w:color="auto" w:sz="12" w:space="0"/>
            </w:tcBorders>
            <w:shd w:val="clear" w:color="auto" w:fill="auto"/>
            <w:vAlign w:val="center"/>
          </w:tcPr>
          <w:p w14:paraId="66C47A0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1A8ADE9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5C897A6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19.87</w:t>
            </w:r>
          </w:p>
          <w:p w14:paraId="212A9D5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±2.46</w:t>
            </w:r>
            <w:r>
              <w:rPr>
                <w:rFonts w:ascii="Times New Roman" w:hAnsi="Times New Roman" w:eastAsia="Times New Roman" w:cs="Times New Roman"/>
                <w:b/>
                <w:bCs/>
                <w:sz w:val="20"/>
                <w:szCs w:val="20"/>
                <w:vertAlign w:val="superscript"/>
              </w:rPr>
              <w:t>iC</w:t>
            </w:r>
          </w:p>
        </w:tc>
        <w:tc>
          <w:tcPr>
            <w:tcW w:w="0" w:type="auto"/>
            <w:shd w:val="clear" w:color="auto" w:fill="auto"/>
            <w:vAlign w:val="center"/>
          </w:tcPr>
          <w:p w14:paraId="7AE1C73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30.00</w:t>
            </w:r>
          </w:p>
          <w:p w14:paraId="42A5BD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±1.68</w:t>
            </w:r>
            <w:r>
              <w:rPr>
                <w:rFonts w:ascii="Times New Roman" w:hAnsi="Times New Roman" w:eastAsia="Times New Roman" w:cs="Times New Roman"/>
                <w:b/>
                <w:bCs/>
                <w:sz w:val="20"/>
                <w:szCs w:val="20"/>
                <w:vertAlign w:val="superscript"/>
              </w:rPr>
              <w:t>dB</w:t>
            </w:r>
          </w:p>
        </w:tc>
        <w:tc>
          <w:tcPr>
            <w:tcW w:w="0" w:type="auto"/>
            <w:shd w:val="clear" w:color="auto" w:fill="auto"/>
            <w:vAlign w:val="center"/>
          </w:tcPr>
          <w:p w14:paraId="6B55CE4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5D7E04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5C3ACC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EC835D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71C67A5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650DB8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4703E95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49.98</w:t>
            </w:r>
          </w:p>
          <w:p w14:paraId="7C1CB4FA">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±6.00</w:t>
            </w:r>
            <w:r>
              <w:rPr>
                <w:rFonts w:ascii="Times New Roman" w:hAnsi="Times New Roman" w:eastAsia="Times New Roman" w:cs="Times New Roman"/>
                <w:b/>
                <w:bCs/>
                <w:color w:val="FF0000"/>
                <w:sz w:val="20"/>
                <w:szCs w:val="20"/>
                <w:vertAlign w:val="superscript"/>
              </w:rPr>
              <w:t>gh</w:t>
            </w:r>
          </w:p>
        </w:tc>
      </w:tr>
      <w:tr w14:paraId="5F6A0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6B79EFE7">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3FF573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0" w:type="auto"/>
            <w:tcBorders>
              <w:left w:val="single" w:color="auto" w:sz="12" w:space="0"/>
            </w:tcBorders>
            <w:shd w:val="clear" w:color="auto" w:fill="auto"/>
            <w:vAlign w:val="center"/>
          </w:tcPr>
          <w:p w14:paraId="464C40A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7658E23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4AEC385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10.12</w:t>
            </w:r>
          </w:p>
          <w:p w14:paraId="633B51E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±1.22</w:t>
            </w:r>
            <w:r>
              <w:rPr>
                <w:rFonts w:ascii="Times New Roman" w:hAnsi="Times New Roman" w:eastAsia="Times New Roman" w:cs="Times New Roman"/>
                <w:b/>
                <w:bCs/>
                <w:sz w:val="20"/>
                <w:szCs w:val="20"/>
                <w:vertAlign w:val="superscript"/>
              </w:rPr>
              <w:t>lC</w:t>
            </w:r>
          </w:p>
        </w:tc>
        <w:tc>
          <w:tcPr>
            <w:tcW w:w="0" w:type="auto"/>
            <w:shd w:val="clear" w:color="auto" w:fill="auto"/>
            <w:vAlign w:val="center"/>
          </w:tcPr>
          <w:p w14:paraId="75C0F58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25.04</w:t>
            </w:r>
          </w:p>
          <w:p w14:paraId="0697751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±1.21</w:t>
            </w:r>
            <w:r>
              <w:rPr>
                <w:rFonts w:ascii="Times New Roman" w:hAnsi="Times New Roman" w:eastAsia="Times New Roman" w:cs="Times New Roman"/>
                <w:b/>
                <w:bCs/>
                <w:sz w:val="20"/>
                <w:szCs w:val="20"/>
                <w:vertAlign w:val="superscript"/>
              </w:rPr>
              <w:t>eB</w:t>
            </w:r>
          </w:p>
        </w:tc>
        <w:tc>
          <w:tcPr>
            <w:tcW w:w="0" w:type="auto"/>
            <w:shd w:val="clear" w:color="auto" w:fill="auto"/>
            <w:vAlign w:val="center"/>
          </w:tcPr>
          <w:p w14:paraId="7B73A66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EC2CBD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2124FC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38B048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073A296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D5242C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37D7E21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47.88</w:t>
            </w:r>
          </w:p>
          <w:p w14:paraId="700A8A5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±6.18</w:t>
            </w:r>
            <w:r>
              <w:rPr>
                <w:rFonts w:ascii="Times New Roman" w:hAnsi="Times New Roman" w:eastAsia="Times New Roman" w:cs="Times New Roman"/>
                <w:b/>
                <w:bCs/>
                <w:color w:val="FF0000"/>
                <w:sz w:val="20"/>
                <w:szCs w:val="20"/>
                <w:vertAlign w:val="superscript"/>
              </w:rPr>
              <w:t>h</w:t>
            </w:r>
          </w:p>
        </w:tc>
      </w:tr>
      <w:tr w14:paraId="453A0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016577E8">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FC</w:t>
            </w:r>
          </w:p>
        </w:tc>
        <w:tc>
          <w:tcPr>
            <w:tcW w:w="0" w:type="auto"/>
            <w:tcBorders>
              <w:right w:val="single" w:color="auto" w:sz="12" w:space="0"/>
            </w:tcBorders>
            <w:shd w:val="clear" w:color="auto" w:fill="auto"/>
            <w:vAlign w:val="center"/>
          </w:tcPr>
          <w:p w14:paraId="2CB5B10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left w:val="single" w:color="auto" w:sz="12" w:space="0"/>
            </w:tcBorders>
            <w:shd w:val="clear" w:color="auto" w:fill="auto"/>
            <w:vAlign w:val="center"/>
          </w:tcPr>
          <w:p w14:paraId="5155712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aC</w:t>
            </w:r>
          </w:p>
        </w:tc>
        <w:tc>
          <w:tcPr>
            <w:tcW w:w="0" w:type="auto"/>
            <w:shd w:val="clear" w:color="auto" w:fill="auto"/>
            <w:vAlign w:val="center"/>
          </w:tcPr>
          <w:p w14:paraId="55E1A93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74.84</w:t>
            </w:r>
          </w:p>
          <w:p w14:paraId="4D2550E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±3.23</w:t>
            </w:r>
            <w:r>
              <w:rPr>
                <w:rFonts w:ascii="Times New Roman" w:hAnsi="Times New Roman" w:eastAsia="Times New Roman" w:cs="Times New Roman"/>
                <w:b/>
                <w:bCs/>
                <w:sz w:val="20"/>
                <w:szCs w:val="20"/>
                <w:vertAlign w:val="superscript"/>
              </w:rPr>
              <w:t>aB</w:t>
            </w:r>
          </w:p>
        </w:tc>
        <w:tc>
          <w:tcPr>
            <w:tcW w:w="0" w:type="auto"/>
            <w:shd w:val="clear" w:color="auto" w:fill="auto"/>
            <w:vAlign w:val="center"/>
          </w:tcPr>
          <w:p w14:paraId="2B9DE1B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2EA33D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4DD324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83AB5E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F61943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D80FE3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78A663B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24B6EF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42ECE8B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5A7F53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FFFF00"/>
            <w:vAlign w:val="bottom"/>
          </w:tcPr>
          <w:p w14:paraId="677819A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82.12</w:t>
            </w:r>
          </w:p>
          <w:p w14:paraId="057DC6A3">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±4.69</w:t>
            </w:r>
            <w:r>
              <w:rPr>
                <w:rFonts w:ascii="Times New Roman" w:hAnsi="Times New Roman" w:eastAsia="Times New Roman" w:cs="Times New Roman"/>
                <w:b/>
                <w:bCs/>
                <w:color w:val="FF0000"/>
                <w:sz w:val="20"/>
                <w:szCs w:val="20"/>
                <w:vertAlign w:val="superscript"/>
              </w:rPr>
              <w:t>a</w:t>
            </w:r>
          </w:p>
        </w:tc>
      </w:tr>
      <w:tr w14:paraId="4FDB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5DDCBEC9">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788FFD0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0" w:type="auto"/>
            <w:tcBorders>
              <w:left w:val="single" w:color="auto" w:sz="12" w:space="0"/>
            </w:tcBorders>
            <w:shd w:val="clear" w:color="auto" w:fill="auto"/>
            <w:vAlign w:val="center"/>
          </w:tcPr>
          <w:p w14:paraId="46EC12B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6996263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59.84</w:t>
            </w:r>
          </w:p>
          <w:p w14:paraId="4045910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±4.28</w:t>
            </w:r>
            <w:r>
              <w:rPr>
                <w:rFonts w:ascii="Times New Roman" w:hAnsi="Times New Roman" w:eastAsia="Times New Roman" w:cs="Times New Roman"/>
                <w:b/>
                <w:bCs/>
                <w:sz w:val="20"/>
                <w:szCs w:val="20"/>
                <w:vertAlign w:val="superscript"/>
              </w:rPr>
              <w:t>bC</w:t>
            </w:r>
          </w:p>
        </w:tc>
        <w:tc>
          <w:tcPr>
            <w:tcW w:w="0" w:type="auto"/>
            <w:shd w:val="clear" w:color="auto" w:fill="auto"/>
            <w:vAlign w:val="center"/>
          </w:tcPr>
          <w:p w14:paraId="47D9B37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71.42</w:t>
            </w:r>
          </w:p>
          <w:p w14:paraId="05C630E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±2.25</w:t>
            </w:r>
            <w:r>
              <w:rPr>
                <w:rFonts w:ascii="Times New Roman" w:hAnsi="Times New Roman" w:eastAsia="Times New Roman" w:cs="Times New Roman"/>
                <w:b/>
                <w:bCs/>
                <w:sz w:val="20"/>
                <w:szCs w:val="20"/>
                <w:vertAlign w:val="superscript"/>
              </w:rPr>
              <w:t>eB</w:t>
            </w:r>
          </w:p>
        </w:tc>
        <w:tc>
          <w:tcPr>
            <w:tcW w:w="0" w:type="auto"/>
            <w:shd w:val="clear" w:color="auto" w:fill="auto"/>
            <w:vAlign w:val="center"/>
          </w:tcPr>
          <w:p w14:paraId="1F4FA80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DEDC34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56A21A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3993AB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686D4EE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4799D8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089D568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70D57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75CF92A8">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75.89</w:t>
            </w:r>
          </w:p>
          <w:p w14:paraId="373A3A4E">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±4.71</w:t>
            </w:r>
            <w:r>
              <w:rPr>
                <w:rFonts w:ascii="Times New Roman" w:hAnsi="Times New Roman" w:eastAsia="Times New Roman" w:cs="Times New Roman"/>
                <w:b/>
                <w:bCs/>
                <w:color w:val="FF0000"/>
                <w:sz w:val="20"/>
                <w:szCs w:val="20"/>
                <w:vertAlign w:val="superscript"/>
              </w:rPr>
              <w:t>b</w:t>
            </w:r>
          </w:p>
        </w:tc>
      </w:tr>
      <w:tr w14:paraId="3D52B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385C2C80">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4324081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0" w:type="auto"/>
            <w:tcBorders>
              <w:left w:val="single" w:color="auto" w:sz="12" w:space="0"/>
            </w:tcBorders>
            <w:shd w:val="clear" w:color="auto" w:fill="auto"/>
            <w:vAlign w:val="center"/>
          </w:tcPr>
          <w:p w14:paraId="585708C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w:t>
            </w:r>
            <w:r>
              <w:rPr>
                <w:rFonts w:ascii="Times New Roman" w:hAnsi="Times New Roman" w:eastAsia="Times New Roman" w:cs="Times New Roman"/>
                <w:b/>
                <w:bCs/>
                <w:sz w:val="20"/>
                <w:szCs w:val="20"/>
              </w:rPr>
              <w:t>R</w:t>
            </w:r>
          </w:p>
        </w:tc>
        <w:tc>
          <w:tcPr>
            <w:tcW w:w="0" w:type="auto"/>
            <w:shd w:val="clear" w:color="auto" w:fill="auto"/>
            <w:vAlign w:val="center"/>
          </w:tcPr>
          <w:p w14:paraId="1DF9DEB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49.92</w:t>
            </w:r>
          </w:p>
          <w:p w14:paraId="15E1F37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±5.16</w:t>
            </w:r>
            <w:r>
              <w:rPr>
                <w:rFonts w:ascii="Times New Roman" w:hAnsi="Times New Roman" w:eastAsia="Times New Roman" w:cs="Times New Roman"/>
                <w:b/>
                <w:bCs/>
                <w:sz w:val="20"/>
                <w:szCs w:val="20"/>
                <w:vertAlign w:val="superscript"/>
              </w:rPr>
              <w:t>cC</w:t>
            </w:r>
          </w:p>
        </w:tc>
        <w:tc>
          <w:tcPr>
            <w:tcW w:w="0" w:type="auto"/>
            <w:shd w:val="clear" w:color="auto" w:fill="auto"/>
            <w:vAlign w:val="center"/>
          </w:tcPr>
          <w:p w14:paraId="1844EB2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60.21</w:t>
            </w:r>
          </w:p>
          <w:p w14:paraId="26FEEED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±5.09</w:t>
            </w:r>
            <w:r>
              <w:rPr>
                <w:rFonts w:ascii="Times New Roman" w:hAnsi="Times New Roman" w:eastAsia="Times New Roman" w:cs="Times New Roman"/>
                <w:b/>
                <w:bCs/>
                <w:sz w:val="20"/>
                <w:szCs w:val="20"/>
                <w:vertAlign w:val="superscript"/>
              </w:rPr>
              <w:t>fB</w:t>
            </w:r>
          </w:p>
        </w:tc>
        <w:tc>
          <w:tcPr>
            <w:tcW w:w="0" w:type="auto"/>
            <w:shd w:val="clear" w:color="auto" w:fill="auto"/>
            <w:vAlign w:val="center"/>
          </w:tcPr>
          <w:p w14:paraId="1D1EAC7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CCB27B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8BEC90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A330AE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033709D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180DAC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775649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45D2D0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459656B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72.88</w:t>
            </w:r>
          </w:p>
          <w:p w14:paraId="3389822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±4.92</w:t>
            </w:r>
            <w:r>
              <w:rPr>
                <w:rFonts w:ascii="Times New Roman" w:hAnsi="Times New Roman" w:eastAsia="Times New Roman" w:cs="Times New Roman"/>
                <w:b/>
                <w:bCs/>
                <w:color w:val="FF0000"/>
                <w:sz w:val="20"/>
                <w:szCs w:val="20"/>
                <w:vertAlign w:val="superscript"/>
              </w:rPr>
              <w:t>c</w:t>
            </w:r>
          </w:p>
        </w:tc>
      </w:tr>
      <w:tr w14:paraId="0701C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28B1FC6E">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FO</w:t>
            </w:r>
          </w:p>
        </w:tc>
        <w:tc>
          <w:tcPr>
            <w:tcW w:w="0" w:type="auto"/>
            <w:tcBorders>
              <w:right w:val="single" w:color="auto" w:sz="12" w:space="0"/>
            </w:tcBorders>
            <w:shd w:val="clear" w:color="auto" w:fill="auto"/>
            <w:vAlign w:val="center"/>
          </w:tcPr>
          <w:p w14:paraId="4F2DCB5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left w:val="single" w:color="auto" w:sz="12" w:space="0"/>
            </w:tcBorders>
            <w:shd w:val="clear" w:color="auto" w:fill="auto"/>
            <w:vAlign w:val="center"/>
          </w:tcPr>
          <w:p w14:paraId="2ADDEDF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1EFE18A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1503CFC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20.00</w:t>
            </w:r>
          </w:p>
          <w:p w14:paraId="4E46BF5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±2.78</w:t>
            </w:r>
            <w:r>
              <w:rPr>
                <w:rFonts w:ascii="Times New Roman" w:hAnsi="Times New Roman" w:eastAsia="Times New Roman" w:cs="Times New Roman"/>
                <w:b/>
                <w:bCs/>
                <w:sz w:val="20"/>
                <w:szCs w:val="20"/>
                <w:vertAlign w:val="superscript"/>
              </w:rPr>
              <w:t>iC</w:t>
            </w:r>
          </w:p>
        </w:tc>
        <w:tc>
          <w:tcPr>
            <w:tcW w:w="0" w:type="auto"/>
            <w:shd w:val="clear" w:color="auto" w:fill="auto"/>
            <w:vAlign w:val="center"/>
          </w:tcPr>
          <w:p w14:paraId="0B2823D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50.29</w:t>
            </w:r>
          </w:p>
          <w:p w14:paraId="1DF476E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±4.61</w:t>
            </w:r>
            <w:r>
              <w:rPr>
                <w:rFonts w:ascii="Times New Roman" w:hAnsi="Times New Roman" w:eastAsia="Times New Roman" w:cs="Times New Roman"/>
                <w:b/>
                <w:bCs/>
                <w:sz w:val="20"/>
                <w:szCs w:val="20"/>
                <w:vertAlign w:val="superscript"/>
              </w:rPr>
              <w:t>bB</w:t>
            </w:r>
          </w:p>
        </w:tc>
        <w:tc>
          <w:tcPr>
            <w:tcW w:w="0" w:type="auto"/>
            <w:shd w:val="clear" w:color="auto" w:fill="auto"/>
            <w:vAlign w:val="center"/>
          </w:tcPr>
          <w:p w14:paraId="4683514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6D2730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4292AF2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056311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55A591C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BD72E8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1920CEB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52.90</w:t>
            </w:r>
          </w:p>
          <w:p w14:paraId="1AA6AB2E">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±5.93</w:t>
            </w:r>
            <w:r>
              <w:rPr>
                <w:rFonts w:ascii="Times New Roman" w:hAnsi="Times New Roman" w:eastAsia="Times New Roman" w:cs="Times New Roman"/>
                <w:b/>
                <w:bCs/>
                <w:color w:val="FF0000"/>
                <w:sz w:val="20"/>
                <w:szCs w:val="20"/>
                <w:vertAlign w:val="superscript"/>
              </w:rPr>
              <w:t>f</w:t>
            </w:r>
          </w:p>
        </w:tc>
      </w:tr>
      <w:tr w14:paraId="1EAEF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6ACBBC5A">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2505C70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0" w:type="auto"/>
            <w:tcBorders>
              <w:left w:val="single" w:color="auto" w:sz="12" w:space="0"/>
            </w:tcBorders>
            <w:shd w:val="clear" w:color="auto" w:fill="auto"/>
            <w:vAlign w:val="center"/>
          </w:tcPr>
          <w:p w14:paraId="69B1147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496AC03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1F5C030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15.04</w:t>
            </w:r>
          </w:p>
          <w:p w14:paraId="27ECD44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±1.46</w:t>
            </w:r>
            <w:r>
              <w:rPr>
                <w:rFonts w:ascii="Times New Roman" w:hAnsi="Times New Roman" w:eastAsia="Times New Roman" w:cs="Times New Roman"/>
                <w:b/>
                <w:bCs/>
                <w:sz w:val="20"/>
                <w:szCs w:val="20"/>
                <w:vertAlign w:val="superscript"/>
              </w:rPr>
              <w:t>kC</w:t>
            </w:r>
          </w:p>
        </w:tc>
        <w:tc>
          <w:tcPr>
            <w:tcW w:w="0" w:type="auto"/>
            <w:shd w:val="clear" w:color="auto" w:fill="auto"/>
            <w:vAlign w:val="center"/>
          </w:tcPr>
          <w:p w14:paraId="4397514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30.00</w:t>
            </w:r>
          </w:p>
          <w:p w14:paraId="1F15C2D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±1.87</w:t>
            </w:r>
            <w:r>
              <w:rPr>
                <w:rFonts w:ascii="Times New Roman" w:hAnsi="Times New Roman" w:eastAsia="Times New Roman" w:cs="Times New Roman"/>
                <w:b/>
                <w:bCs/>
                <w:sz w:val="20"/>
                <w:szCs w:val="20"/>
                <w:vertAlign w:val="superscript"/>
              </w:rPr>
              <w:t>dB</w:t>
            </w:r>
          </w:p>
        </w:tc>
        <w:tc>
          <w:tcPr>
            <w:tcW w:w="0" w:type="auto"/>
            <w:shd w:val="clear" w:color="auto" w:fill="auto"/>
            <w:vAlign w:val="center"/>
          </w:tcPr>
          <w:p w14:paraId="20E0BF3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913BC2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3525051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841520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2CF45DA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5BA000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3BA0BC8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49.29</w:t>
            </w:r>
          </w:p>
          <w:p w14:paraId="206D5DAA">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±6.06</w:t>
            </w:r>
            <w:r>
              <w:rPr>
                <w:rFonts w:ascii="Times New Roman" w:hAnsi="Times New Roman" w:eastAsia="Times New Roman" w:cs="Times New Roman"/>
                <w:b/>
                <w:bCs/>
                <w:color w:val="FF0000"/>
                <w:sz w:val="20"/>
                <w:szCs w:val="20"/>
                <w:vertAlign w:val="superscript"/>
              </w:rPr>
              <w:t>gh</w:t>
            </w:r>
          </w:p>
        </w:tc>
      </w:tr>
      <w:tr w14:paraId="5CE4E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3906AF05">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5075374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0" w:type="auto"/>
            <w:tcBorders>
              <w:left w:val="single" w:color="auto" w:sz="12" w:space="0"/>
            </w:tcBorders>
            <w:shd w:val="clear" w:color="auto" w:fill="auto"/>
            <w:vAlign w:val="center"/>
          </w:tcPr>
          <w:p w14:paraId="3BD7285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4833614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7626D7A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10.04</w:t>
            </w:r>
          </w:p>
          <w:p w14:paraId="4B2CD24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±0.98</w:t>
            </w:r>
            <w:r>
              <w:rPr>
                <w:rFonts w:ascii="Times New Roman" w:hAnsi="Times New Roman" w:eastAsia="Times New Roman" w:cs="Times New Roman"/>
                <w:b/>
                <w:bCs/>
                <w:sz w:val="20"/>
                <w:szCs w:val="20"/>
                <w:vertAlign w:val="superscript"/>
              </w:rPr>
              <w:t>kC</w:t>
            </w:r>
          </w:p>
        </w:tc>
        <w:tc>
          <w:tcPr>
            <w:tcW w:w="0" w:type="auto"/>
            <w:shd w:val="clear" w:color="auto" w:fill="auto"/>
            <w:vAlign w:val="center"/>
          </w:tcPr>
          <w:p w14:paraId="118AC95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25.50</w:t>
            </w:r>
          </w:p>
          <w:p w14:paraId="145A5A7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±1.84</w:t>
            </w:r>
            <w:r>
              <w:rPr>
                <w:rFonts w:ascii="Times New Roman" w:hAnsi="Times New Roman" w:eastAsia="Times New Roman" w:cs="Times New Roman"/>
                <w:b/>
                <w:bCs/>
                <w:sz w:val="20"/>
                <w:szCs w:val="20"/>
                <w:vertAlign w:val="superscript"/>
              </w:rPr>
              <w:t>eB</w:t>
            </w:r>
          </w:p>
        </w:tc>
        <w:tc>
          <w:tcPr>
            <w:tcW w:w="0" w:type="auto"/>
            <w:shd w:val="clear" w:color="auto" w:fill="auto"/>
            <w:vAlign w:val="center"/>
          </w:tcPr>
          <w:p w14:paraId="694D042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AA5619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459D259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8B7B58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7ABB9AD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A2FF6B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6D176379">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47.93</w:t>
            </w:r>
          </w:p>
          <w:p w14:paraId="3550193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±6.18</w:t>
            </w:r>
            <w:r>
              <w:rPr>
                <w:rFonts w:ascii="Times New Roman" w:hAnsi="Times New Roman" w:eastAsia="Times New Roman" w:cs="Times New Roman"/>
                <w:b/>
                <w:bCs/>
                <w:color w:val="FF0000"/>
                <w:sz w:val="20"/>
                <w:szCs w:val="20"/>
                <w:vertAlign w:val="superscript"/>
              </w:rPr>
              <w:t>h</w:t>
            </w:r>
          </w:p>
        </w:tc>
      </w:tr>
      <w:tr w14:paraId="2C5DD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5528FCF4">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FP</w:t>
            </w:r>
          </w:p>
        </w:tc>
        <w:tc>
          <w:tcPr>
            <w:tcW w:w="0" w:type="auto"/>
            <w:tcBorders>
              <w:right w:val="single" w:color="auto" w:sz="12" w:space="0"/>
            </w:tcBorders>
            <w:shd w:val="clear" w:color="auto" w:fill="auto"/>
            <w:vAlign w:val="center"/>
          </w:tcPr>
          <w:p w14:paraId="207D119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0" w:type="auto"/>
            <w:tcBorders>
              <w:left w:val="single" w:color="auto" w:sz="12" w:space="0"/>
            </w:tcBorders>
            <w:shd w:val="clear" w:color="auto" w:fill="auto"/>
            <w:vAlign w:val="center"/>
          </w:tcPr>
          <w:p w14:paraId="79192F8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56419ED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2E788D7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20.21</w:t>
            </w:r>
          </w:p>
          <w:p w14:paraId="61D8719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±2.70</w:t>
            </w:r>
            <w:r>
              <w:rPr>
                <w:rFonts w:ascii="Times New Roman" w:hAnsi="Times New Roman" w:eastAsia="Times New Roman" w:cs="Times New Roman"/>
                <w:b/>
                <w:bCs/>
                <w:sz w:val="20"/>
                <w:szCs w:val="20"/>
                <w:vertAlign w:val="superscript"/>
              </w:rPr>
              <w:t>iC</w:t>
            </w:r>
          </w:p>
        </w:tc>
        <w:tc>
          <w:tcPr>
            <w:tcW w:w="0" w:type="auto"/>
            <w:shd w:val="clear" w:color="auto" w:fill="auto"/>
            <w:vAlign w:val="center"/>
          </w:tcPr>
          <w:p w14:paraId="47897EE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50.17</w:t>
            </w:r>
          </w:p>
          <w:p w14:paraId="00D6126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±4.97</w:t>
            </w:r>
            <w:r>
              <w:rPr>
                <w:rFonts w:ascii="Times New Roman" w:hAnsi="Times New Roman" w:eastAsia="Times New Roman" w:cs="Times New Roman"/>
                <w:b/>
                <w:bCs/>
                <w:sz w:val="20"/>
                <w:szCs w:val="20"/>
                <w:vertAlign w:val="superscript"/>
              </w:rPr>
              <w:t>bB</w:t>
            </w:r>
          </w:p>
        </w:tc>
        <w:tc>
          <w:tcPr>
            <w:tcW w:w="0" w:type="auto"/>
            <w:shd w:val="clear" w:color="auto" w:fill="auto"/>
            <w:vAlign w:val="center"/>
          </w:tcPr>
          <w:p w14:paraId="2F8BB80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E1FC58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43E8A67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F47E99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14D8C50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B0B9DD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67B259ED">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52.91</w:t>
            </w:r>
          </w:p>
          <w:p w14:paraId="4030D4BB">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±5.93</w:t>
            </w:r>
            <w:r>
              <w:rPr>
                <w:rFonts w:ascii="Times New Roman" w:hAnsi="Times New Roman" w:eastAsia="Times New Roman" w:cs="Times New Roman"/>
                <w:b/>
                <w:bCs/>
                <w:color w:val="FF0000"/>
                <w:sz w:val="20"/>
                <w:szCs w:val="20"/>
                <w:vertAlign w:val="superscript"/>
              </w:rPr>
              <w:t>f</w:t>
            </w:r>
          </w:p>
        </w:tc>
      </w:tr>
      <w:tr w14:paraId="4DB25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2748C801">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2E2D85B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0" w:type="auto"/>
            <w:tcBorders>
              <w:left w:val="single" w:color="auto" w:sz="12" w:space="0"/>
            </w:tcBorders>
            <w:shd w:val="clear" w:color="auto" w:fill="auto"/>
            <w:vAlign w:val="center"/>
          </w:tcPr>
          <w:p w14:paraId="2370600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2921BC0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0E36075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17.96</w:t>
            </w:r>
          </w:p>
          <w:p w14:paraId="49C48F6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±2.04</w:t>
            </w:r>
            <w:r>
              <w:rPr>
                <w:rFonts w:ascii="Times New Roman" w:hAnsi="Times New Roman" w:eastAsia="Times New Roman" w:cs="Times New Roman"/>
                <w:b/>
                <w:bCs/>
                <w:sz w:val="20"/>
                <w:szCs w:val="20"/>
                <w:vertAlign w:val="superscript"/>
              </w:rPr>
              <w:t>jC</w:t>
            </w:r>
          </w:p>
        </w:tc>
        <w:tc>
          <w:tcPr>
            <w:tcW w:w="0" w:type="auto"/>
            <w:shd w:val="clear" w:color="auto" w:fill="auto"/>
            <w:vAlign w:val="center"/>
          </w:tcPr>
          <w:p w14:paraId="14BEA42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35.92</w:t>
            </w:r>
          </w:p>
          <w:p w14:paraId="70AD6E4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±1.61</w:t>
            </w:r>
            <w:r>
              <w:rPr>
                <w:rFonts w:ascii="Times New Roman" w:hAnsi="Times New Roman" w:eastAsia="Times New Roman" w:cs="Times New Roman"/>
                <w:b/>
                <w:bCs/>
                <w:sz w:val="20"/>
                <w:szCs w:val="20"/>
                <w:vertAlign w:val="superscript"/>
              </w:rPr>
              <w:t>cB</w:t>
            </w:r>
          </w:p>
        </w:tc>
        <w:tc>
          <w:tcPr>
            <w:tcW w:w="0" w:type="auto"/>
            <w:shd w:val="clear" w:color="auto" w:fill="auto"/>
            <w:vAlign w:val="center"/>
          </w:tcPr>
          <w:p w14:paraId="486C4D0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DD4821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C90EB6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EA2B55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0313A0E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311612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6CC9638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50.55</w:t>
            </w:r>
          </w:p>
          <w:p w14:paraId="04FBDF4E">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±5.98</w:t>
            </w:r>
            <w:r>
              <w:rPr>
                <w:rFonts w:ascii="Times New Roman" w:hAnsi="Times New Roman" w:eastAsia="Times New Roman" w:cs="Times New Roman"/>
                <w:b/>
                <w:bCs/>
                <w:color w:val="FF0000"/>
                <w:sz w:val="20"/>
                <w:szCs w:val="20"/>
                <w:vertAlign w:val="superscript"/>
              </w:rPr>
              <w:t>g</w:t>
            </w:r>
          </w:p>
        </w:tc>
      </w:tr>
      <w:tr w14:paraId="4647D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4E759E60">
            <w:pPr>
              <w:spacing w:after="0" w:line="240" w:lineRule="auto"/>
              <w:jc w:val="center"/>
              <w:rPr>
                <w:rFonts w:ascii="Times New Roman" w:hAnsi="Times New Roman" w:eastAsia="Times New Roman" w:cs="Times New Roman"/>
                <w:b/>
                <w:bCs/>
                <w:sz w:val="20"/>
                <w:szCs w:val="20"/>
                <w:lang w:eastAsia="ar-SA" w:bidi="ar-EG"/>
              </w:rPr>
            </w:pPr>
          </w:p>
        </w:tc>
        <w:tc>
          <w:tcPr>
            <w:tcW w:w="0" w:type="auto"/>
            <w:tcBorders>
              <w:right w:val="single" w:color="auto" w:sz="12" w:space="0"/>
            </w:tcBorders>
            <w:shd w:val="clear" w:color="auto" w:fill="auto"/>
            <w:vAlign w:val="center"/>
          </w:tcPr>
          <w:p w14:paraId="11499E5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0" w:type="auto"/>
            <w:tcBorders>
              <w:left w:val="single" w:color="auto" w:sz="12" w:space="0"/>
            </w:tcBorders>
            <w:shd w:val="clear" w:color="auto" w:fill="auto"/>
            <w:vAlign w:val="center"/>
          </w:tcPr>
          <w:p w14:paraId="504D5FA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aD</w:t>
            </w:r>
          </w:p>
        </w:tc>
        <w:tc>
          <w:tcPr>
            <w:tcW w:w="0" w:type="auto"/>
            <w:shd w:val="clear" w:color="auto" w:fill="auto"/>
            <w:vAlign w:val="center"/>
          </w:tcPr>
          <w:p w14:paraId="435B6BE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fD</w:t>
            </w:r>
          </w:p>
        </w:tc>
        <w:tc>
          <w:tcPr>
            <w:tcW w:w="0" w:type="auto"/>
            <w:shd w:val="clear" w:color="auto" w:fill="auto"/>
            <w:vAlign w:val="center"/>
          </w:tcPr>
          <w:p w14:paraId="2547356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10.00</w:t>
            </w:r>
          </w:p>
          <w:p w14:paraId="37D8FBB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±1.13</w:t>
            </w:r>
            <w:r>
              <w:rPr>
                <w:rFonts w:ascii="Times New Roman" w:hAnsi="Times New Roman" w:eastAsia="Times New Roman" w:cs="Times New Roman"/>
                <w:b/>
                <w:bCs/>
                <w:sz w:val="20"/>
                <w:szCs w:val="20"/>
                <w:vertAlign w:val="superscript"/>
              </w:rPr>
              <w:t>lC</w:t>
            </w:r>
          </w:p>
        </w:tc>
        <w:tc>
          <w:tcPr>
            <w:tcW w:w="0" w:type="auto"/>
            <w:shd w:val="clear" w:color="auto" w:fill="auto"/>
            <w:vAlign w:val="center"/>
          </w:tcPr>
          <w:p w14:paraId="1A3CD3D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25.08</w:t>
            </w:r>
          </w:p>
          <w:p w14:paraId="2A98132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±1.71</w:t>
            </w:r>
            <w:r>
              <w:rPr>
                <w:rFonts w:ascii="Times New Roman" w:hAnsi="Times New Roman" w:eastAsia="Times New Roman" w:cs="Times New Roman"/>
                <w:b/>
                <w:bCs/>
                <w:sz w:val="20"/>
                <w:szCs w:val="20"/>
                <w:vertAlign w:val="superscript"/>
              </w:rPr>
              <w:t>eB</w:t>
            </w:r>
          </w:p>
        </w:tc>
        <w:tc>
          <w:tcPr>
            <w:tcW w:w="0" w:type="auto"/>
            <w:shd w:val="clear" w:color="auto" w:fill="auto"/>
            <w:vAlign w:val="center"/>
          </w:tcPr>
          <w:p w14:paraId="2723D1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437713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7E001C7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550928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right w:val="single" w:color="auto" w:sz="12" w:space="0"/>
            </w:tcBorders>
            <w:shd w:val="clear" w:color="auto" w:fill="auto"/>
            <w:vAlign w:val="center"/>
          </w:tcPr>
          <w:p w14:paraId="5F12907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63D51B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0" w:type="auto"/>
            <w:tcBorders>
              <w:left w:val="single" w:color="auto" w:sz="12" w:space="0"/>
            </w:tcBorders>
            <w:shd w:val="clear" w:color="auto" w:fill="auto"/>
            <w:vAlign w:val="bottom"/>
          </w:tcPr>
          <w:p w14:paraId="5974B890">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47.87</w:t>
            </w:r>
          </w:p>
          <w:p w14:paraId="6DD95968">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±6.18</w:t>
            </w:r>
            <w:r>
              <w:rPr>
                <w:rFonts w:ascii="Times New Roman" w:hAnsi="Times New Roman" w:eastAsia="Times New Roman" w:cs="Times New Roman"/>
                <w:b/>
                <w:bCs/>
                <w:color w:val="FF0000"/>
                <w:sz w:val="20"/>
                <w:szCs w:val="20"/>
                <w:vertAlign w:val="superscript"/>
              </w:rPr>
              <w:t>h</w:t>
            </w:r>
          </w:p>
        </w:tc>
      </w:tr>
      <w:tr w14:paraId="1B1D1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right w:val="single" w:color="auto" w:sz="12" w:space="0"/>
            </w:tcBorders>
            <w:shd w:val="clear" w:color="auto" w:fill="auto"/>
            <w:vAlign w:val="center"/>
          </w:tcPr>
          <w:p w14:paraId="4D00BA78">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Sterile deionized water (DIW)</w:t>
            </w:r>
          </w:p>
        </w:tc>
        <w:tc>
          <w:tcPr>
            <w:tcW w:w="0" w:type="auto"/>
            <w:tcBorders>
              <w:left w:val="single" w:color="auto" w:sz="12" w:space="0"/>
            </w:tcBorders>
            <w:shd w:val="clear" w:color="auto" w:fill="auto"/>
            <w:vAlign w:val="center"/>
          </w:tcPr>
          <w:p w14:paraId="2FFE765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aA</w:t>
            </w:r>
          </w:p>
        </w:tc>
        <w:tc>
          <w:tcPr>
            <w:tcW w:w="0" w:type="auto"/>
            <w:shd w:val="clear" w:color="auto" w:fill="auto"/>
            <w:vAlign w:val="center"/>
          </w:tcPr>
          <w:p w14:paraId="500EE54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fA</w:t>
            </w:r>
          </w:p>
        </w:tc>
        <w:tc>
          <w:tcPr>
            <w:tcW w:w="0" w:type="auto"/>
            <w:shd w:val="clear" w:color="auto" w:fill="auto"/>
            <w:vAlign w:val="center"/>
          </w:tcPr>
          <w:p w14:paraId="667E064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mA</w:t>
            </w:r>
          </w:p>
        </w:tc>
        <w:tc>
          <w:tcPr>
            <w:tcW w:w="0" w:type="auto"/>
            <w:shd w:val="clear" w:color="auto" w:fill="auto"/>
            <w:vAlign w:val="center"/>
          </w:tcPr>
          <w:p w14:paraId="0BC3511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fA</w:t>
            </w:r>
          </w:p>
        </w:tc>
        <w:tc>
          <w:tcPr>
            <w:tcW w:w="0" w:type="auto"/>
            <w:shd w:val="clear" w:color="auto" w:fill="auto"/>
            <w:vAlign w:val="center"/>
          </w:tcPr>
          <w:p w14:paraId="5F0BD3B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shd w:val="clear" w:color="auto" w:fill="auto"/>
            <w:vAlign w:val="center"/>
          </w:tcPr>
          <w:p w14:paraId="63C73D2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tcBorders>
              <w:right w:val="single" w:color="auto" w:sz="12" w:space="0"/>
            </w:tcBorders>
            <w:shd w:val="clear" w:color="auto" w:fill="auto"/>
            <w:vAlign w:val="center"/>
          </w:tcPr>
          <w:p w14:paraId="6D81B0D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tcBorders>
              <w:left w:val="single" w:color="auto" w:sz="12" w:space="0"/>
            </w:tcBorders>
            <w:shd w:val="clear" w:color="auto" w:fill="auto"/>
            <w:vAlign w:val="center"/>
          </w:tcPr>
          <w:p w14:paraId="23695636">
            <w:pPr>
              <w:spacing w:after="0" w:line="240" w:lineRule="auto"/>
              <w:jc w:val="cente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0±0</w:t>
            </w:r>
            <w:r>
              <w:rPr>
                <w:rFonts w:ascii="Times New Roman" w:hAnsi="Times New Roman" w:eastAsia="Times New Roman" w:cs="Times New Roman"/>
                <w:b/>
                <w:bCs/>
                <w:color w:val="FF0000"/>
                <w:sz w:val="20"/>
                <w:szCs w:val="20"/>
                <w:vertAlign w:val="superscript"/>
              </w:rPr>
              <w:t>i</w:t>
            </w:r>
          </w:p>
        </w:tc>
      </w:tr>
      <w:tr w14:paraId="5CDD8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bottom w:val="single" w:color="auto" w:sz="12" w:space="0"/>
              <w:right w:val="single" w:color="auto" w:sz="12" w:space="0"/>
            </w:tcBorders>
            <w:shd w:val="clear" w:color="auto" w:fill="auto"/>
            <w:vAlign w:val="center"/>
          </w:tcPr>
          <w:p w14:paraId="46A4905A">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DMSO</w:t>
            </w:r>
          </w:p>
        </w:tc>
        <w:tc>
          <w:tcPr>
            <w:tcW w:w="0" w:type="auto"/>
            <w:tcBorders>
              <w:left w:val="single" w:color="auto" w:sz="12" w:space="0"/>
              <w:bottom w:val="single" w:color="auto" w:sz="12" w:space="0"/>
            </w:tcBorders>
            <w:shd w:val="clear" w:color="auto" w:fill="auto"/>
            <w:vAlign w:val="center"/>
          </w:tcPr>
          <w:p w14:paraId="3242AE7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aA</w:t>
            </w:r>
          </w:p>
        </w:tc>
        <w:tc>
          <w:tcPr>
            <w:tcW w:w="0" w:type="auto"/>
            <w:tcBorders>
              <w:bottom w:val="single" w:color="auto" w:sz="12" w:space="0"/>
            </w:tcBorders>
            <w:shd w:val="clear" w:color="auto" w:fill="auto"/>
            <w:vAlign w:val="center"/>
          </w:tcPr>
          <w:p w14:paraId="432C59B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fA</w:t>
            </w:r>
          </w:p>
        </w:tc>
        <w:tc>
          <w:tcPr>
            <w:tcW w:w="0" w:type="auto"/>
            <w:tcBorders>
              <w:bottom w:val="single" w:color="auto" w:sz="12" w:space="0"/>
            </w:tcBorders>
            <w:shd w:val="clear" w:color="auto" w:fill="auto"/>
            <w:vAlign w:val="center"/>
          </w:tcPr>
          <w:p w14:paraId="177B4BD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mA</w:t>
            </w:r>
          </w:p>
        </w:tc>
        <w:tc>
          <w:tcPr>
            <w:tcW w:w="0" w:type="auto"/>
            <w:tcBorders>
              <w:bottom w:val="single" w:color="auto" w:sz="12" w:space="0"/>
            </w:tcBorders>
            <w:shd w:val="clear" w:color="auto" w:fill="auto"/>
            <w:vAlign w:val="center"/>
          </w:tcPr>
          <w:p w14:paraId="7019B9C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fA</w:t>
            </w:r>
          </w:p>
        </w:tc>
        <w:tc>
          <w:tcPr>
            <w:tcW w:w="0" w:type="auto"/>
            <w:tcBorders>
              <w:bottom w:val="single" w:color="auto" w:sz="12" w:space="0"/>
            </w:tcBorders>
            <w:shd w:val="clear" w:color="auto" w:fill="auto"/>
            <w:vAlign w:val="center"/>
          </w:tcPr>
          <w:p w14:paraId="25F890A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tcBorders>
              <w:bottom w:val="single" w:color="auto" w:sz="12" w:space="0"/>
            </w:tcBorders>
            <w:shd w:val="clear" w:color="auto" w:fill="auto"/>
            <w:vAlign w:val="center"/>
          </w:tcPr>
          <w:p w14:paraId="4BD271F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tcBorders>
              <w:bottom w:val="single" w:color="auto" w:sz="12" w:space="0"/>
              <w:right w:val="single" w:color="auto" w:sz="12" w:space="0"/>
            </w:tcBorders>
            <w:shd w:val="clear" w:color="auto" w:fill="auto"/>
            <w:vAlign w:val="center"/>
          </w:tcPr>
          <w:p w14:paraId="636C0BD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0" w:type="auto"/>
            <w:tcBorders>
              <w:left w:val="single" w:color="auto" w:sz="12" w:space="0"/>
              <w:bottom w:val="single" w:color="auto" w:sz="12" w:space="0"/>
            </w:tcBorders>
            <w:shd w:val="clear" w:color="auto" w:fill="auto"/>
            <w:vAlign w:val="center"/>
          </w:tcPr>
          <w:p w14:paraId="43102162">
            <w:pPr>
              <w:spacing w:after="0" w:line="240" w:lineRule="auto"/>
              <w:jc w:val="cente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0±0</w:t>
            </w:r>
            <w:r>
              <w:rPr>
                <w:rFonts w:ascii="Times New Roman" w:hAnsi="Times New Roman" w:eastAsia="Times New Roman" w:cs="Times New Roman"/>
                <w:b/>
                <w:bCs/>
                <w:color w:val="FF0000"/>
                <w:sz w:val="20"/>
                <w:szCs w:val="20"/>
                <w:vertAlign w:val="superscript"/>
              </w:rPr>
              <w:t>i</w:t>
            </w:r>
          </w:p>
        </w:tc>
      </w:tr>
      <w:tr w14:paraId="01F6D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auto" w:sz="12" w:space="0"/>
              <w:bottom w:val="single" w:color="auto" w:sz="12" w:space="0"/>
              <w:right w:val="single" w:color="auto" w:sz="12" w:space="0"/>
            </w:tcBorders>
            <w:shd w:val="clear" w:color="auto" w:fill="auto"/>
            <w:vAlign w:val="center"/>
          </w:tcPr>
          <w:p w14:paraId="3AD17F55">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Mean</w:t>
            </w:r>
          </w:p>
        </w:tc>
        <w:tc>
          <w:tcPr>
            <w:tcW w:w="0" w:type="auto"/>
            <w:tcBorders>
              <w:top w:val="single" w:color="auto" w:sz="12" w:space="0"/>
              <w:left w:val="single" w:color="auto" w:sz="12" w:space="0"/>
              <w:bottom w:val="single" w:color="auto" w:sz="12" w:space="0"/>
            </w:tcBorders>
            <w:shd w:val="clear" w:color="auto" w:fill="auto"/>
            <w:vAlign w:val="center"/>
          </w:tcPr>
          <w:p w14:paraId="120EC197">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rPr>
              <w:t>0±0</w:t>
            </w:r>
            <w:r>
              <w:rPr>
                <w:rFonts w:ascii="Times New Roman" w:hAnsi="Times New Roman" w:eastAsia="Times New Roman" w:cs="Times New Roman"/>
                <w:b/>
                <w:bCs/>
                <w:color w:val="FF0000"/>
                <w:sz w:val="20"/>
                <w:szCs w:val="20"/>
                <w:vertAlign w:val="superscript"/>
              </w:rPr>
              <w:t>E</w:t>
            </w:r>
          </w:p>
        </w:tc>
        <w:tc>
          <w:tcPr>
            <w:tcW w:w="0" w:type="auto"/>
            <w:tcBorders>
              <w:top w:val="single" w:color="auto" w:sz="12" w:space="0"/>
              <w:bottom w:val="single" w:color="auto" w:sz="12" w:space="0"/>
            </w:tcBorders>
            <w:shd w:val="clear" w:color="auto" w:fill="auto"/>
            <w:vAlign w:val="center"/>
          </w:tcPr>
          <w:p w14:paraId="5B256BEF">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21.69</w:t>
            </w:r>
          </w:p>
          <w:p w14:paraId="45AAA4DD">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±2.22</w:t>
            </w:r>
            <w:r>
              <w:rPr>
                <w:rFonts w:ascii="Times New Roman" w:hAnsi="Times New Roman" w:eastAsia="Times New Roman" w:cs="Times New Roman"/>
                <w:b/>
                <w:bCs/>
                <w:color w:val="FF0000"/>
                <w:sz w:val="20"/>
                <w:szCs w:val="20"/>
                <w:vertAlign w:val="superscript"/>
                <w:lang w:eastAsia="ar-SA" w:bidi="ar-EG"/>
              </w:rPr>
              <w:t>D</w:t>
            </w:r>
          </w:p>
        </w:tc>
        <w:tc>
          <w:tcPr>
            <w:tcW w:w="0" w:type="auto"/>
            <w:tcBorders>
              <w:top w:val="single" w:color="auto" w:sz="12" w:space="0"/>
              <w:bottom w:val="single" w:color="auto" w:sz="12" w:space="0"/>
            </w:tcBorders>
            <w:shd w:val="clear" w:color="auto" w:fill="auto"/>
            <w:vAlign w:val="center"/>
          </w:tcPr>
          <w:p w14:paraId="3E83817C">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41.76</w:t>
            </w:r>
          </w:p>
          <w:p w14:paraId="560B4BA9">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±2.73</w:t>
            </w:r>
            <w:r>
              <w:rPr>
                <w:rFonts w:ascii="Times New Roman" w:hAnsi="Times New Roman" w:eastAsia="Times New Roman" w:cs="Times New Roman"/>
                <w:b/>
                <w:bCs/>
                <w:color w:val="FF0000"/>
                <w:sz w:val="20"/>
                <w:szCs w:val="20"/>
                <w:vertAlign w:val="superscript"/>
                <w:lang w:eastAsia="ar-SA" w:bidi="ar-EG"/>
              </w:rPr>
              <w:t>C</w:t>
            </w:r>
          </w:p>
        </w:tc>
        <w:tc>
          <w:tcPr>
            <w:tcW w:w="0" w:type="auto"/>
            <w:tcBorders>
              <w:top w:val="single" w:color="auto" w:sz="12" w:space="0"/>
              <w:bottom w:val="single" w:color="auto" w:sz="12" w:space="0"/>
            </w:tcBorders>
            <w:shd w:val="clear" w:color="auto" w:fill="auto"/>
            <w:vAlign w:val="center"/>
          </w:tcPr>
          <w:p w14:paraId="0A627587">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61.11</w:t>
            </w:r>
          </w:p>
          <w:p w14:paraId="7E437B6E">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±2.99</w:t>
            </w:r>
            <w:r>
              <w:rPr>
                <w:rFonts w:ascii="Times New Roman" w:hAnsi="Times New Roman" w:eastAsia="Times New Roman" w:cs="Times New Roman"/>
                <w:b/>
                <w:bCs/>
                <w:color w:val="FF0000"/>
                <w:sz w:val="20"/>
                <w:szCs w:val="20"/>
                <w:vertAlign w:val="superscript"/>
                <w:lang w:eastAsia="ar-SA" w:bidi="ar-EG"/>
              </w:rPr>
              <w:t>B</w:t>
            </w:r>
          </w:p>
        </w:tc>
        <w:tc>
          <w:tcPr>
            <w:tcW w:w="0" w:type="auto"/>
            <w:tcBorders>
              <w:top w:val="single" w:color="auto" w:sz="12" w:space="0"/>
              <w:bottom w:val="single" w:color="auto" w:sz="12" w:space="0"/>
            </w:tcBorders>
            <w:shd w:val="clear" w:color="auto" w:fill="auto"/>
            <w:vAlign w:val="center"/>
          </w:tcPr>
          <w:p w14:paraId="7DE31E6C">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0D1311FE">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0" w:type="auto"/>
            <w:tcBorders>
              <w:top w:val="single" w:color="auto" w:sz="12" w:space="0"/>
              <w:bottom w:val="single" w:color="auto" w:sz="12" w:space="0"/>
            </w:tcBorders>
            <w:shd w:val="clear" w:color="auto" w:fill="auto"/>
            <w:vAlign w:val="center"/>
          </w:tcPr>
          <w:p w14:paraId="2FA60162">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0E8FEAB7">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0" w:type="auto"/>
            <w:tcBorders>
              <w:top w:val="single" w:color="auto" w:sz="12" w:space="0"/>
              <w:bottom w:val="single" w:color="auto" w:sz="12" w:space="0"/>
              <w:right w:val="single" w:color="auto" w:sz="12" w:space="0"/>
            </w:tcBorders>
            <w:shd w:val="clear" w:color="auto" w:fill="auto"/>
            <w:vAlign w:val="center"/>
          </w:tcPr>
          <w:p w14:paraId="422C275A">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32EE7C5E">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0" w:type="auto"/>
            <w:tcBorders>
              <w:top w:val="single" w:color="auto" w:sz="12" w:space="0"/>
              <w:left w:val="single" w:color="auto" w:sz="12" w:space="0"/>
              <w:bottom w:val="single" w:color="auto" w:sz="12" w:space="0"/>
            </w:tcBorders>
            <w:shd w:val="clear" w:color="auto" w:fill="auto"/>
            <w:vAlign w:val="center"/>
          </w:tcPr>
          <w:p w14:paraId="0225DF5E">
            <w:pPr>
              <w:spacing w:after="0" w:line="240" w:lineRule="auto"/>
              <w:jc w:val="center"/>
              <w:rPr>
                <w:rFonts w:ascii="Times New Roman" w:hAnsi="Times New Roman" w:eastAsia="Times New Roman" w:cs="Times New Roman"/>
                <w:b/>
                <w:bCs/>
                <w:color w:val="FF0000"/>
                <w:sz w:val="20"/>
                <w:szCs w:val="20"/>
                <w:lang w:eastAsia="ar-SA" w:bidi="ar-EG"/>
              </w:rPr>
            </w:pPr>
          </w:p>
        </w:tc>
      </w:tr>
    </w:tbl>
    <w:p w14:paraId="76622D49">
      <w:pPr>
        <w:spacing w:after="0" w:line="240" w:lineRule="auto"/>
        <w:ind w:left="851" w:hanging="851"/>
        <w:jc w:val="both"/>
        <w:rPr>
          <w:rFonts w:ascii="Times New Roman" w:hAnsi="Times New Roman" w:eastAsia="Times New Roman" w:cs="Times New Roman"/>
          <w:color w:val="000000"/>
          <w:sz w:val="24"/>
          <w:szCs w:val="24"/>
        </w:rPr>
      </w:pPr>
    </w:p>
    <w:p w14:paraId="2F703916">
      <w:pPr>
        <w:spacing w:after="0" w:line="240" w:lineRule="auto"/>
        <w:ind w:left="851" w:hanging="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b &amp; c: There is no significant difference (P&gt;0.05) between any two means, within the same column </w:t>
      </w:r>
      <w:r>
        <w:rPr>
          <w:rFonts w:ascii="Times New Roman" w:hAnsi="Times New Roman" w:eastAsia="Times New Roman" w:cs="Times New Roman"/>
          <w:sz w:val="24"/>
          <w:szCs w:val="24"/>
        </w:rPr>
        <w:t>have the same superscript letter</w:t>
      </w:r>
      <w:r>
        <w:rPr>
          <w:rFonts w:ascii="Times New Roman" w:hAnsi="Times New Roman" w:eastAsia="Times New Roman" w:cs="Times New Roman"/>
          <w:color w:val="000000"/>
          <w:sz w:val="24"/>
          <w:szCs w:val="24"/>
        </w:rPr>
        <w:t>.</w:t>
      </w:r>
    </w:p>
    <w:p w14:paraId="7F4ABEA8">
      <w:pPr>
        <w:spacing w:after="0" w:line="240" w:lineRule="auto"/>
        <w:ind w:left="851" w:hanging="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B &amp; C: There is no significant difference (P&gt;0.05) between any two means, within the same row </w:t>
      </w:r>
      <w:r>
        <w:rPr>
          <w:rFonts w:ascii="Times New Roman" w:hAnsi="Times New Roman" w:eastAsia="Times New Roman" w:cs="Times New Roman"/>
          <w:sz w:val="24"/>
          <w:szCs w:val="24"/>
        </w:rPr>
        <w:t>have the same superscript letter</w:t>
      </w:r>
      <w:r>
        <w:rPr>
          <w:rFonts w:ascii="Times New Roman" w:hAnsi="Times New Roman" w:eastAsia="Times New Roman" w:cs="Times New Roman"/>
          <w:color w:val="000000"/>
          <w:sz w:val="24"/>
          <w:szCs w:val="24"/>
        </w:rPr>
        <w:t>.</w:t>
      </w:r>
    </w:p>
    <w:tbl>
      <w:tblPr>
        <w:tblStyle w:val="7"/>
        <w:tblW w:w="2473" w:type="dxa"/>
        <w:tblInd w:w="93" w:type="dxa"/>
        <w:tblLayout w:type="autofit"/>
        <w:tblCellMar>
          <w:top w:w="0" w:type="dxa"/>
          <w:left w:w="108" w:type="dxa"/>
          <w:bottom w:w="0" w:type="dxa"/>
          <w:right w:w="108" w:type="dxa"/>
        </w:tblCellMar>
      </w:tblPr>
      <w:tblGrid>
        <w:gridCol w:w="1513"/>
        <w:gridCol w:w="960"/>
      </w:tblGrid>
      <w:tr w14:paraId="1BCC016F">
        <w:tblPrEx>
          <w:tblCellMar>
            <w:top w:w="0" w:type="dxa"/>
            <w:left w:w="108" w:type="dxa"/>
            <w:bottom w:w="0" w:type="dxa"/>
            <w:right w:w="108" w:type="dxa"/>
          </w:tblCellMar>
        </w:tblPrEx>
        <w:trPr>
          <w:trHeight w:val="255" w:hRule="atLeast"/>
        </w:trPr>
        <w:tc>
          <w:tcPr>
            <w:tcW w:w="1513" w:type="dxa"/>
            <w:tcBorders>
              <w:top w:val="nil"/>
              <w:left w:val="nil"/>
              <w:bottom w:val="nil"/>
              <w:right w:val="nil"/>
            </w:tcBorders>
            <w:shd w:val="clear" w:color="auto" w:fill="auto"/>
            <w:noWrap/>
            <w:vAlign w:val="bottom"/>
          </w:tcPr>
          <w:p w14:paraId="71811FAD">
            <w:pPr>
              <w:bidi/>
              <w:spacing w:after="0" w:line="240" w:lineRule="auto"/>
              <w:jc w:val="center"/>
              <w:rPr>
                <w:rFonts w:ascii="Times New Roman" w:hAnsi="Times New Roman" w:eastAsia="Times New Roman" w:cs="Times New Roman"/>
                <w:b/>
                <w:bCs/>
                <w:sz w:val="24"/>
                <w:szCs w:val="24"/>
                <w:rtl/>
                <w:lang w:bidi="ar-EG"/>
              </w:rPr>
            </w:pPr>
            <w:r>
              <w:rPr>
                <w:rFonts w:ascii="Times New Roman" w:hAnsi="Times New Roman" w:eastAsia="Times New Roman" w:cs="Times New Roman"/>
                <w:b/>
                <w:bCs/>
                <w:sz w:val="24"/>
                <w:szCs w:val="24"/>
              </w:rPr>
              <w:t>LSDC</w:t>
            </w:r>
            <w:r>
              <w:rPr>
                <w:rFonts w:ascii="Times New Roman" w:hAnsi="Times New Roman" w:eastAsia="Times New Roman" w:cs="Times New Roman"/>
                <w:b/>
                <w:bCs/>
                <w:sz w:val="24"/>
                <w:szCs w:val="24"/>
                <w:rtl/>
              </w:rPr>
              <w:tab/>
            </w:r>
            <w:r>
              <w:rPr>
                <w:rFonts w:ascii="Times New Roman" w:hAnsi="Times New Roman" w:eastAsia="Times New Roman" w:cs="Times New Roman"/>
                <w:b/>
                <w:bCs/>
                <w:sz w:val="24"/>
                <w:szCs w:val="24"/>
                <w:rtl/>
              </w:rPr>
              <w:t>1.92</w:t>
            </w:r>
          </w:p>
          <w:p w14:paraId="01A9183A">
            <w:pPr>
              <w:bidi/>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LSDP</w:t>
            </w:r>
            <w:r>
              <w:rPr>
                <w:rFonts w:ascii="Times New Roman" w:hAnsi="Times New Roman" w:eastAsia="Times New Roman" w:cs="Times New Roman"/>
                <w:b/>
                <w:bCs/>
                <w:sz w:val="24"/>
                <w:szCs w:val="24"/>
                <w:rtl/>
              </w:rPr>
              <w:tab/>
            </w:r>
            <w:r>
              <w:rPr>
                <w:rFonts w:ascii="Times New Roman" w:hAnsi="Times New Roman" w:eastAsia="Times New Roman" w:cs="Times New Roman"/>
                <w:b/>
                <w:bCs/>
                <w:sz w:val="24"/>
                <w:szCs w:val="24"/>
                <w:rtl/>
              </w:rPr>
              <w:t>1.14</w:t>
            </w:r>
          </w:p>
          <w:p w14:paraId="4F131D98">
            <w:pPr>
              <w:bidi/>
              <w:spacing w:after="0" w:line="240" w:lineRule="auto"/>
              <w:jc w:val="center"/>
              <w:rPr>
                <w:rFonts w:ascii="Times New Roman" w:hAnsi="Times New Roman" w:eastAsia="Times New Roman" w:cs="Times New Roman"/>
                <w:b/>
                <w:bCs/>
                <w:sz w:val="24"/>
                <w:szCs w:val="24"/>
                <w:rtl/>
              </w:rPr>
            </w:pPr>
            <w:r>
              <w:rPr>
                <w:rFonts w:ascii="Times New Roman" w:hAnsi="Times New Roman" w:eastAsia="Times New Roman" w:cs="Times New Roman"/>
                <w:b/>
                <w:bCs/>
                <w:sz w:val="24"/>
                <w:szCs w:val="24"/>
              </w:rPr>
              <w:t>LSDC</w:t>
            </w:r>
            <w:r>
              <w:rPr>
                <w:rFonts w:ascii="Times New Roman" w:hAnsi="Times New Roman" w:eastAsia="Times New Roman" w:cs="Times New Roman"/>
                <w:b/>
                <w:bCs/>
                <w:sz w:val="24"/>
                <w:szCs w:val="24"/>
                <w:rtl/>
              </w:rPr>
              <w:tab/>
            </w:r>
            <w:r>
              <w:rPr>
                <w:rFonts w:ascii="Times New Roman" w:hAnsi="Times New Roman" w:eastAsia="Times New Roman" w:cs="Times New Roman"/>
                <w:b/>
                <w:bCs/>
                <w:sz w:val="24"/>
                <w:szCs w:val="24"/>
                <w:rtl/>
              </w:rPr>
              <w:t>5.09</w:t>
            </w:r>
          </w:p>
          <w:p w14:paraId="2B6336B9">
            <w:pPr>
              <w:bidi/>
              <w:spacing w:after="0" w:line="240" w:lineRule="auto"/>
              <w:rPr>
                <w:rFonts w:ascii="Times New Roman" w:hAnsi="Times New Roman" w:eastAsia="Times New Roman" w:cs="Times New Roman"/>
                <w:b/>
                <w:bCs/>
                <w:color w:val="FF0000"/>
                <w:sz w:val="24"/>
                <w:szCs w:val="24"/>
                <w:lang w:bidi="ar-EG"/>
              </w:rPr>
            </w:pPr>
          </w:p>
          <w:p w14:paraId="183728BB">
            <w:pPr>
              <w:spacing w:after="0" w:line="240" w:lineRule="auto"/>
              <w:rPr>
                <w:rFonts w:ascii="Times New Roman" w:hAnsi="Times New Roman" w:eastAsia="Times New Roman" w:cs="Times New Roman"/>
                <w:b/>
                <w:bCs/>
                <w:color w:val="FF0000"/>
                <w:sz w:val="24"/>
                <w:szCs w:val="24"/>
              </w:rPr>
            </w:pPr>
          </w:p>
        </w:tc>
        <w:tc>
          <w:tcPr>
            <w:tcW w:w="960" w:type="dxa"/>
            <w:tcBorders>
              <w:top w:val="nil"/>
              <w:left w:val="nil"/>
              <w:bottom w:val="nil"/>
              <w:right w:val="nil"/>
            </w:tcBorders>
            <w:shd w:val="clear" w:color="auto" w:fill="auto"/>
            <w:noWrap/>
            <w:vAlign w:val="bottom"/>
          </w:tcPr>
          <w:p w14:paraId="17225964">
            <w:pPr>
              <w:spacing w:after="0" w:line="240" w:lineRule="auto"/>
              <w:jc w:val="center"/>
              <w:rPr>
                <w:rFonts w:ascii="Times New Roman" w:hAnsi="Times New Roman" w:eastAsia="Times New Roman" w:cs="Times New Roman"/>
                <w:b/>
                <w:bCs/>
                <w:color w:val="FF0000"/>
                <w:sz w:val="24"/>
                <w:szCs w:val="24"/>
              </w:rPr>
            </w:pPr>
          </w:p>
        </w:tc>
      </w:tr>
    </w:tbl>
    <w:p w14:paraId="40BB185B">
      <w:pPr>
        <w:spacing w:after="0" w:line="240" w:lineRule="auto"/>
        <w:rPr>
          <w:rFonts w:ascii="Times New Roman" w:hAnsi="Times New Roman" w:eastAsia="Times New Roman" w:cs="Times New Roman"/>
          <w:b/>
          <w:bCs/>
          <w:sz w:val="24"/>
          <w:szCs w:val="24"/>
          <w:lang w:eastAsia="ar-SA" w:bidi="ar-EG"/>
        </w:rPr>
      </w:pPr>
      <w:r>
        <w:tab/>
      </w:r>
      <w:r>
        <w:rPr>
          <w:rFonts w:ascii="Times New Roman" w:hAnsi="Times New Roman" w:eastAsia="Times New Roman" w:cs="Times New Roman"/>
          <w:b/>
          <w:bCs/>
          <w:sz w:val="24"/>
          <w:szCs w:val="24"/>
        </w:rPr>
        <w:t xml:space="preserve">Table (2): </w:t>
      </w:r>
      <w:r>
        <w:rPr>
          <w:rFonts w:ascii="Times New Roman" w:hAnsi="Times New Roman" w:eastAsia="Times New Roman" w:cs="Times New Roman"/>
          <w:b/>
          <w:bCs/>
          <w:sz w:val="24"/>
          <w:szCs w:val="24"/>
          <w:lang w:eastAsia="ar-SA" w:bidi="ar-EG"/>
        </w:rPr>
        <w:t>Impact of furfural</w:t>
      </w:r>
      <w:r>
        <w:rPr>
          <w:rFonts w:ascii="Times New Roman" w:hAnsi="Times New Roman" w:eastAsia="Times New Roman" w:cs="Times New Roman"/>
          <w:b/>
          <w:bCs/>
          <w:sz w:val="24"/>
          <w:szCs w:val="24"/>
          <w:u w:val="single"/>
          <w:lang w:eastAsia="ar-SA" w:bidi="ar-EG"/>
        </w:rPr>
        <w:t xml:space="preserve"> </w:t>
      </w:r>
      <w:r>
        <w:rPr>
          <w:rFonts w:ascii="Times New Roman" w:hAnsi="Times New Roman" w:eastAsia="Times New Roman" w:cs="Times New Roman"/>
          <w:b/>
          <w:bCs/>
          <w:sz w:val="24"/>
          <w:szCs w:val="24"/>
          <w:lang w:eastAsia="ar-SA" w:bidi="ar-EG"/>
        </w:rPr>
        <w:t xml:space="preserve">derivatives on Juveniles mortality % of </w:t>
      </w:r>
      <w:r>
        <w:rPr>
          <w:rFonts w:ascii="Times New Roman" w:hAnsi="Times New Roman" w:eastAsia="Times New Roman" w:cs="Times New Roman"/>
          <w:b/>
          <w:bCs/>
          <w:i/>
          <w:iCs/>
          <w:kern w:val="2"/>
          <w:sz w:val="24"/>
          <w:szCs w:val="24"/>
          <w:lang w:val="en-GB" w:eastAsia="ar-SA"/>
        </w:rPr>
        <w:t>Tylenchulus semipenetran</w:t>
      </w:r>
      <w:r>
        <w:rPr>
          <w:rFonts w:ascii="Times New Roman" w:hAnsi="Times New Roman" w:eastAsia="Times New Roman" w:cs="Times New Roman"/>
          <w:b/>
          <w:bCs/>
          <w:sz w:val="24"/>
          <w:szCs w:val="24"/>
          <w:lang w:val="en-GB" w:eastAsia="ar-SA" w:bidi="ar-EG"/>
        </w:rPr>
        <w:t>s</w:t>
      </w:r>
      <w:r>
        <w:rPr>
          <w:rFonts w:ascii="Times New Roman" w:hAnsi="Times New Roman" w:eastAsia="Times New Roman" w:cs="Times New Roman"/>
          <w:b/>
          <w:bCs/>
          <w:sz w:val="24"/>
          <w:szCs w:val="24"/>
          <w:lang w:eastAsia="ar-SA" w:bidi="ar-EG"/>
        </w:rPr>
        <w:t xml:space="preserve"> (mean±SE).</w:t>
      </w:r>
    </w:p>
    <w:tbl>
      <w:tblPr>
        <w:tblStyle w:val="5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871"/>
        <w:gridCol w:w="870"/>
        <w:gridCol w:w="872"/>
        <w:gridCol w:w="878"/>
        <w:gridCol w:w="872"/>
        <w:gridCol w:w="872"/>
        <w:gridCol w:w="873"/>
        <w:gridCol w:w="873"/>
        <w:gridCol w:w="872"/>
      </w:tblGrid>
      <w:tr w14:paraId="16406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tcBorders>
              <w:top w:val="single" w:color="auto" w:sz="12" w:space="0"/>
            </w:tcBorders>
            <w:vAlign w:val="center"/>
          </w:tcPr>
          <w:p w14:paraId="64A23BF0">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Treat-ment</w:t>
            </w:r>
          </w:p>
        </w:tc>
        <w:tc>
          <w:tcPr>
            <w:tcW w:w="871" w:type="dxa"/>
            <w:vMerge w:val="restart"/>
            <w:tcBorders>
              <w:top w:val="single" w:color="auto" w:sz="12" w:space="0"/>
              <w:right w:val="single" w:color="auto" w:sz="12" w:space="0"/>
            </w:tcBorders>
            <w:vAlign w:val="center"/>
          </w:tcPr>
          <w:p w14:paraId="3EE26112">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Conc.</w:t>
            </w:r>
          </w:p>
          <w:p w14:paraId="0DB2C52F">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lang w:eastAsia="ar-SA" w:bidi="ar-EG"/>
              </w:rPr>
              <w:t>(%)</w:t>
            </w:r>
          </w:p>
        </w:tc>
        <w:tc>
          <w:tcPr>
            <w:tcW w:w="6110" w:type="dxa"/>
            <w:gridSpan w:val="7"/>
            <w:tcBorders>
              <w:top w:val="single" w:color="auto" w:sz="12" w:space="0"/>
              <w:left w:val="single" w:color="auto" w:sz="12" w:space="0"/>
              <w:bottom w:val="single" w:color="auto" w:sz="4" w:space="0"/>
              <w:right w:val="single" w:color="auto" w:sz="12" w:space="0"/>
            </w:tcBorders>
            <w:vAlign w:val="center"/>
          </w:tcPr>
          <w:p w14:paraId="1E436728">
            <w:pPr>
              <w:spacing w:after="0" w:line="240" w:lineRule="auto"/>
              <w:jc w:val="center"/>
              <w:rPr>
                <w:rFonts w:ascii="Times New Roman" w:hAnsi="Times New Roman" w:eastAsia="Times New Roman" w:cs="Times New Roman"/>
                <w:b/>
                <w:bCs/>
                <w:sz w:val="20"/>
                <w:szCs w:val="20"/>
                <w:lang w:eastAsia="ar-SA" w:bidi="ar-EG"/>
              </w:rPr>
            </w:pPr>
            <w:r>
              <w:rPr>
                <w:rFonts w:ascii="Times New Roman" w:hAnsi="Times New Roman" w:eastAsia="Times New Roman" w:cs="Times New Roman"/>
                <w:b/>
                <w:bCs/>
                <w:sz w:val="20"/>
                <w:szCs w:val="20"/>
              </w:rPr>
              <w:t>Period (hrs)</w:t>
            </w:r>
          </w:p>
        </w:tc>
        <w:tc>
          <w:tcPr>
            <w:tcW w:w="872" w:type="dxa"/>
            <w:vMerge w:val="restart"/>
            <w:tcBorders>
              <w:top w:val="single" w:color="auto" w:sz="12" w:space="0"/>
              <w:left w:val="single" w:color="auto" w:sz="12" w:space="0"/>
            </w:tcBorders>
          </w:tcPr>
          <w:p w14:paraId="1AD91D29">
            <w:pPr>
              <w:spacing w:after="0" w:line="240" w:lineRule="auto"/>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Mean</w:t>
            </w:r>
          </w:p>
        </w:tc>
      </w:tr>
      <w:tr w14:paraId="0E822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tcBorders>
              <w:bottom w:val="single" w:color="auto" w:sz="12" w:space="0"/>
            </w:tcBorders>
            <w:vAlign w:val="center"/>
          </w:tcPr>
          <w:p w14:paraId="3FC1A13A">
            <w:pPr>
              <w:spacing w:after="0" w:line="240" w:lineRule="auto"/>
              <w:jc w:val="center"/>
              <w:rPr>
                <w:rFonts w:ascii="Times New Roman" w:hAnsi="Times New Roman" w:eastAsia="Times New Roman" w:cs="Times New Roman"/>
                <w:b/>
                <w:bCs/>
                <w:sz w:val="20"/>
                <w:szCs w:val="20"/>
                <w:lang w:eastAsia="ar-SA" w:bidi="ar-EG"/>
              </w:rPr>
            </w:pPr>
          </w:p>
        </w:tc>
        <w:tc>
          <w:tcPr>
            <w:tcW w:w="871" w:type="dxa"/>
            <w:vMerge w:val="continue"/>
            <w:tcBorders>
              <w:bottom w:val="single" w:color="auto" w:sz="12" w:space="0"/>
              <w:right w:val="single" w:color="auto" w:sz="12" w:space="0"/>
            </w:tcBorders>
            <w:vAlign w:val="center"/>
          </w:tcPr>
          <w:p w14:paraId="0252FD0C">
            <w:pPr>
              <w:spacing w:after="0" w:line="240" w:lineRule="auto"/>
              <w:jc w:val="center"/>
              <w:rPr>
                <w:rFonts w:ascii="Times New Roman" w:hAnsi="Times New Roman" w:eastAsia="Times New Roman" w:cs="Times New Roman"/>
                <w:b/>
                <w:bCs/>
                <w:sz w:val="20"/>
                <w:szCs w:val="20"/>
                <w:lang w:eastAsia="ar-SA" w:bidi="ar-EG"/>
              </w:rPr>
            </w:pPr>
          </w:p>
        </w:tc>
        <w:tc>
          <w:tcPr>
            <w:tcW w:w="870" w:type="dxa"/>
            <w:tcBorders>
              <w:top w:val="single" w:color="auto" w:sz="4" w:space="0"/>
              <w:left w:val="single" w:color="auto" w:sz="12" w:space="0"/>
              <w:bottom w:val="single" w:color="auto" w:sz="12" w:space="0"/>
            </w:tcBorders>
            <w:vAlign w:val="center"/>
          </w:tcPr>
          <w:p w14:paraId="44C27A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w:t>
            </w:r>
          </w:p>
        </w:tc>
        <w:tc>
          <w:tcPr>
            <w:tcW w:w="872" w:type="dxa"/>
            <w:tcBorders>
              <w:top w:val="single" w:color="auto" w:sz="4" w:space="0"/>
              <w:bottom w:val="single" w:color="auto" w:sz="12" w:space="0"/>
            </w:tcBorders>
            <w:vAlign w:val="center"/>
          </w:tcPr>
          <w:p w14:paraId="73D1CDA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0.5</w:t>
            </w:r>
          </w:p>
        </w:tc>
        <w:tc>
          <w:tcPr>
            <w:tcW w:w="878" w:type="dxa"/>
            <w:tcBorders>
              <w:top w:val="single" w:color="auto" w:sz="4" w:space="0"/>
              <w:bottom w:val="single" w:color="auto" w:sz="12" w:space="0"/>
            </w:tcBorders>
            <w:vAlign w:val="center"/>
          </w:tcPr>
          <w:p w14:paraId="52CC14C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w:t>
            </w:r>
          </w:p>
        </w:tc>
        <w:tc>
          <w:tcPr>
            <w:tcW w:w="872" w:type="dxa"/>
            <w:tcBorders>
              <w:top w:val="single" w:color="auto" w:sz="4" w:space="0"/>
              <w:bottom w:val="single" w:color="auto" w:sz="12" w:space="0"/>
            </w:tcBorders>
            <w:vAlign w:val="center"/>
          </w:tcPr>
          <w:p w14:paraId="7A44FEB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w:t>
            </w:r>
          </w:p>
        </w:tc>
        <w:tc>
          <w:tcPr>
            <w:tcW w:w="872" w:type="dxa"/>
            <w:tcBorders>
              <w:top w:val="single" w:color="auto" w:sz="4" w:space="0"/>
              <w:bottom w:val="single" w:color="auto" w:sz="12" w:space="0"/>
            </w:tcBorders>
            <w:vAlign w:val="center"/>
          </w:tcPr>
          <w:p w14:paraId="43EC7AB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w:t>
            </w:r>
          </w:p>
        </w:tc>
        <w:tc>
          <w:tcPr>
            <w:tcW w:w="873" w:type="dxa"/>
            <w:tcBorders>
              <w:top w:val="single" w:color="auto" w:sz="4" w:space="0"/>
              <w:bottom w:val="single" w:color="auto" w:sz="12" w:space="0"/>
            </w:tcBorders>
            <w:vAlign w:val="center"/>
          </w:tcPr>
          <w:p w14:paraId="622C75D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w:t>
            </w:r>
          </w:p>
        </w:tc>
        <w:tc>
          <w:tcPr>
            <w:tcW w:w="873" w:type="dxa"/>
            <w:tcBorders>
              <w:top w:val="single" w:color="auto" w:sz="4" w:space="0"/>
              <w:bottom w:val="single" w:color="auto" w:sz="12" w:space="0"/>
              <w:right w:val="single" w:color="auto" w:sz="12" w:space="0"/>
            </w:tcBorders>
            <w:vAlign w:val="center"/>
          </w:tcPr>
          <w:p w14:paraId="5EB20EF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24</w:t>
            </w:r>
          </w:p>
        </w:tc>
        <w:tc>
          <w:tcPr>
            <w:tcW w:w="872" w:type="dxa"/>
            <w:vMerge w:val="continue"/>
            <w:tcBorders>
              <w:left w:val="single" w:color="auto" w:sz="12" w:space="0"/>
              <w:bottom w:val="single" w:color="auto" w:sz="12" w:space="0"/>
            </w:tcBorders>
          </w:tcPr>
          <w:p w14:paraId="6FF4698D">
            <w:pPr>
              <w:spacing w:after="0" w:line="240" w:lineRule="auto"/>
              <w:rPr>
                <w:rFonts w:ascii="Times New Roman" w:hAnsi="Times New Roman" w:eastAsia="Times New Roman" w:cs="Times New Roman"/>
                <w:b/>
                <w:bCs/>
                <w:color w:val="FF0000"/>
                <w:sz w:val="24"/>
                <w:szCs w:val="24"/>
                <w:lang w:eastAsia="ar-SA" w:bidi="ar-EG"/>
              </w:rPr>
            </w:pPr>
          </w:p>
        </w:tc>
      </w:tr>
      <w:tr w14:paraId="5DA80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tcBorders>
              <w:top w:val="single" w:color="auto" w:sz="12" w:space="0"/>
            </w:tcBorders>
            <w:vAlign w:val="center"/>
          </w:tcPr>
          <w:p w14:paraId="3242A9E8">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FM</w:t>
            </w:r>
          </w:p>
        </w:tc>
        <w:tc>
          <w:tcPr>
            <w:tcW w:w="871" w:type="dxa"/>
            <w:tcBorders>
              <w:top w:val="single" w:color="auto" w:sz="12" w:space="0"/>
              <w:right w:val="single" w:color="auto" w:sz="12" w:space="0"/>
            </w:tcBorders>
            <w:vAlign w:val="center"/>
          </w:tcPr>
          <w:p w14:paraId="427CF7F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top w:val="single" w:color="auto" w:sz="12" w:space="0"/>
              <w:left w:val="single" w:color="auto" w:sz="12" w:space="0"/>
            </w:tcBorders>
            <w:vAlign w:val="center"/>
          </w:tcPr>
          <w:p w14:paraId="4F41413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tcBorders>
              <w:top w:val="single" w:color="auto" w:sz="12" w:space="0"/>
            </w:tcBorders>
            <w:vAlign w:val="center"/>
          </w:tcPr>
          <w:p w14:paraId="156F418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64.42</w:t>
            </w:r>
          </w:p>
          <w:p w14:paraId="6830D4F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±3.95</w:t>
            </w:r>
            <w:r>
              <w:rPr>
                <w:rFonts w:ascii="Times New Roman" w:hAnsi="Times New Roman" w:eastAsia="Times New Roman" w:cs="Times New Roman"/>
                <w:b/>
                <w:bCs/>
                <w:sz w:val="20"/>
                <w:szCs w:val="20"/>
                <w:vertAlign w:val="superscript"/>
              </w:rPr>
              <w:t>aD</w:t>
            </w:r>
          </w:p>
        </w:tc>
        <w:tc>
          <w:tcPr>
            <w:tcW w:w="878" w:type="dxa"/>
            <w:tcBorders>
              <w:top w:val="single" w:color="auto" w:sz="12" w:space="0"/>
            </w:tcBorders>
            <w:vAlign w:val="center"/>
          </w:tcPr>
          <w:p w14:paraId="3467FA0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88.44</w:t>
            </w:r>
          </w:p>
          <w:p w14:paraId="13EFABA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±4.34</w:t>
            </w:r>
            <w:r>
              <w:rPr>
                <w:rFonts w:ascii="Times New Roman" w:hAnsi="Times New Roman" w:eastAsia="Times New Roman" w:cs="Times New Roman"/>
                <w:b/>
                <w:bCs/>
                <w:sz w:val="20"/>
                <w:szCs w:val="20"/>
                <w:vertAlign w:val="superscript"/>
              </w:rPr>
              <w:t>aC</w:t>
            </w:r>
          </w:p>
        </w:tc>
        <w:tc>
          <w:tcPr>
            <w:tcW w:w="872" w:type="dxa"/>
            <w:tcBorders>
              <w:top w:val="single" w:color="auto" w:sz="12" w:space="0"/>
            </w:tcBorders>
            <w:vAlign w:val="center"/>
          </w:tcPr>
          <w:p w14:paraId="6C98AF4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90.20</w:t>
            </w:r>
          </w:p>
          <w:p w14:paraId="38885A6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±4.36</w:t>
            </w:r>
            <w:r>
              <w:rPr>
                <w:rFonts w:ascii="Times New Roman" w:hAnsi="Times New Roman" w:eastAsia="Times New Roman" w:cs="Times New Roman"/>
                <w:b/>
                <w:bCs/>
                <w:sz w:val="20"/>
                <w:szCs w:val="20"/>
                <w:vertAlign w:val="superscript"/>
              </w:rPr>
              <w:t>bB</w:t>
            </w:r>
          </w:p>
        </w:tc>
        <w:tc>
          <w:tcPr>
            <w:tcW w:w="872" w:type="dxa"/>
            <w:tcBorders>
              <w:top w:val="single" w:color="auto" w:sz="12" w:space="0"/>
            </w:tcBorders>
            <w:vAlign w:val="center"/>
          </w:tcPr>
          <w:p w14:paraId="6201231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0AD1FD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top w:val="single" w:color="auto" w:sz="12" w:space="0"/>
            </w:tcBorders>
            <w:vAlign w:val="center"/>
          </w:tcPr>
          <w:p w14:paraId="6CAB9B8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E7A5FC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top w:val="single" w:color="auto" w:sz="12" w:space="0"/>
              <w:right w:val="single" w:color="auto" w:sz="12" w:space="0"/>
            </w:tcBorders>
            <w:vAlign w:val="center"/>
          </w:tcPr>
          <w:p w14:paraId="07B88DE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E28135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top w:val="single" w:color="auto" w:sz="12" w:space="0"/>
              <w:left w:val="single" w:color="auto" w:sz="12" w:space="0"/>
            </w:tcBorders>
            <w:shd w:val="clear" w:color="auto" w:fill="auto"/>
            <w:vAlign w:val="bottom"/>
          </w:tcPr>
          <w:p w14:paraId="727A83D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76.07</w:t>
            </w:r>
          </w:p>
          <w:p w14:paraId="612182E9">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±5.13</w:t>
            </w:r>
            <w:r>
              <w:rPr>
                <w:rFonts w:ascii="Times New Roman" w:hAnsi="Times New Roman" w:eastAsia="Times New Roman" w:cs="Times New Roman"/>
                <w:b/>
                <w:bCs/>
                <w:color w:val="FF0000"/>
                <w:sz w:val="20"/>
                <w:szCs w:val="20"/>
                <w:vertAlign w:val="superscript"/>
              </w:rPr>
              <w:t>a</w:t>
            </w:r>
          </w:p>
        </w:tc>
      </w:tr>
      <w:tr w14:paraId="70902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11E320D3">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516EF62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0.075</w:t>
            </w:r>
          </w:p>
        </w:tc>
        <w:tc>
          <w:tcPr>
            <w:tcW w:w="870" w:type="dxa"/>
            <w:tcBorders>
              <w:left w:val="single" w:color="auto" w:sz="12" w:space="0"/>
            </w:tcBorders>
            <w:vAlign w:val="center"/>
          </w:tcPr>
          <w:p w14:paraId="28E6E6A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3D2C5B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45.75</w:t>
            </w:r>
          </w:p>
          <w:p w14:paraId="69CDA93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±5.16</w:t>
            </w:r>
            <w:r>
              <w:rPr>
                <w:rFonts w:ascii="Times New Roman" w:hAnsi="Times New Roman" w:eastAsia="Times New Roman" w:cs="Times New Roman"/>
                <w:b/>
                <w:bCs/>
                <w:sz w:val="20"/>
                <w:szCs w:val="20"/>
                <w:vertAlign w:val="superscript"/>
              </w:rPr>
              <w:t>eD</w:t>
            </w:r>
          </w:p>
        </w:tc>
        <w:tc>
          <w:tcPr>
            <w:tcW w:w="878" w:type="dxa"/>
            <w:vAlign w:val="center"/>
          </w:tcPr>
          <w:p w14:paraId="11E0B09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61.67</w:t>
            </w:r>
          </w:p>
          <w:p w14:paraId="73E2768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±3.26</w:t>
            </w:r>
            <w:r>
              <w:rPr>
                <w:rFonts w:ascii="Times New Roman" w:hAnsi="Times New Roman" w:eastAsia="Times New Roman" w:cs="Times New Roman"/>
                <w:b/>
                <w:bCs/>
                <w:sz w:val="20"/>
                <w:szCs w:val="20"/>
                <w:vertAlign w:val="superscript"/>
              </w:rPr>
              <w:t>fC</w:t>
            </w:r>
          </w:p>
        </w:tc>
        <w:tc>
          <w:tcPr>
            <w:tcW w:w="872" w:type="dxa"/>
            <w:vAlign w:val="center"/>
          </w:tcPr>
          <w:p w14:paraId="51E905C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71.60</w:t>
            </w:r>
          </w:p>
          <w:p w14:paraId="7390B30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±1.86</w:t>
            </w:r>
            <w:r>
              <w:rPr>
                <w:rFonts w:ascii="Times New Roman" w:hAnsi="Times New Roman" w:eastAsia="Times New Roman" w:cs="Times New Roman"/>
                <w:b/>
                <w:bCs/>
                <w:sz w:val="20"/>
                <w:szCs w:val="20"/>
                <w:vertAlign w:val="superscript"/>
              </w:rPr>
              <w:t>eB</w:t>
            </w:r>
          </w:p>
        </w:tc>
        <w:tc>
          <w:tcPr>
            <w:tcW w:w="872" w:type="dxa"/>
            <w:vAlign w:val="center"/>
          </w:tcPr>
          <w:p w14:paraId="11313C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8DCB25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35B303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FA9B39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1C5CBA8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C6C5F6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shd w:val="clear" w:color="auto" w:fill="auto"/>
            <w:vAlign w:val="bottom"/>
          </w:tcPr>
          <w:p w14:paraId="5494B92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68.65</w:t>
            </w:r>
          </w:p>
          <w:p w14:paraId="688FD2A0">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±5.25</w:t>
            </w:r>
            <w:r>
              <w:rPr>
                <w:rFonts w:ascii="Times New Roman" w:hAnsi="Times New Roman" w:eastAsia="Times New Roman" w:cs="Times New Roman"/>
                <w:b/>
                <w:bCs/>
                <w:color w:val="FF0000"/>
                <w:sz w:val="20"/>
                <w:szCs w:val="20"/>
                <w:vertAlign w:val="superscript"/>
              </w:rPr>
              <w:t>d</w:t>
            </w:r>
          </w:p>
        </w:tc>
      </w:tr>
      <w:tr w14:paraId="41945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660AE52F">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4B07179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0.0375</w:t>
            </w:r>
          </w:p>
        </w:tc>
        <w:tc>
          <w:tcPr>
            <w:tcW w:w="870" w:type="dxa"/>
            <w:tcBorders>
              <w:left w:val="single" w:color="auto" w:sz="12" w:space="0"/>
            </w:tcBorders>
            <w:vAlign w:val="center"/>
          </w:tcPr>
          <w:p w14:paraId="6A1FC0D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5F359D3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20.00</w:t>
            </w:r>
          </w:p>
          <w:p w14:paraId="26DC5DA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±1.98</w:t>
            </w:r>
            <w:r>
              <w:rPr>
                <w:rFonts w:ascii="Times New Roman" w:hAnsi="Times New Roman" w:eastAsia="Times New Roman" w:cs="Times New Roman"/>
                <w:b/>
                <w:bCs/>
                <w:sz w:val="20"/>
                <w:szCs w:val="20"/>
                <w:vertAlign w:val="superscript"/>
              </w:rPr>
              <w:t>gD</w:t>
            </w:r>
          </w:p>
        </w:tc>
        <w:tc>
          <w:tcPr>
            <w:tcW w:w="878" w:type="dxa"/>
            <w:vAlign w:val="center"/>
          </w:tcPr>
          <w:p w14:paraId="6F00DAD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43.07</w:t>
            </w:r>
          </w:p>
          <w:p w14:paraId="0ED8D69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±1.59</w:t>
            </w:r>
            <w:r>
              <w:rPr>
                <w:rFonts w:ascii="Times New Roman" w:hAnsi="Times New Roman" w:eastAsia="Times New Roman" w:cs="Times New Roman"/>
                <w:b/>
                <w:bCs/>
                <w:sz w:val="20"/>
                <w:szCs w:val="20"/>
                <w:vertAlign w:val="superscript"/>
              </w:rPr>
              <w:t>iC</w:t>
            </w:r>
          </w:p>
        </w:tc>
        <w:tc>
          <w:tcPr>
            <w:tcW w:w="872" w:type="dxa"/>
            <w:vAlign w:val="center"/>
          </w:tcPr>
          <w:p w14:paraId="2FACCF7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62.60</w:t>
            </w:r>
          </w:p>
          <w:p w14:paraId="13A10BE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±3.71</w:t>
            </w:r>
            <w:r>
              <w:rPr>
                <w:rFonts w:ascii="Times New Roman" w:hAnsi="Times New Roman" w:eastAsia="Times New Roman" w:cs="Times New Roman"/>
                <w:b/>
                <w:bCs/>
                <w:sz w:val="20"/>
                <w:szCs w:val="20"/>
                <w:vertAlign w:val="superscript"/>
              </w:rPr>
              <w:t>gB</w:t>
            </w:r>
          </w:p>
        </w:tc>
        <w:tc>
          <w:tcPr>
            <w:tcW w:w="872" w:type="dxa"/>
            <w:vAlign w:val="center"/>
          </w:tcPr>
          <w:p w14:paraId="2452BC2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5088A6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03B20BF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081392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587A58C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8AC61F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shd w:val="clear" w:color="auto" w:fill="auto"/>
            <w:vAlign w:val="bottom"/>
          </w:tcPr>
          <w:p w14:paraId="38375038">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61.77</w:t>
            </w:r>
          </w:p>
          <w:p w14:paraId="3D0D481D">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±5.78</w:t>
            </w:r>
            <w:r>
              <w:rPr>
                <w:rFonts w:ascii="Times New Roman" w:hAnsi="Times New Roman" w:eastAsia="Times New Roman" w:cs="Times New Roman"/>
                <w:b/>
                <w:bCs/>
                <w:color w:val="FF0000"/>
                <w:sz w:val="20"/>
                <w:szCs w:val="20"/>
                <w:vertAlign w:val="superscript"/>
              </w:rPr>
              <w:t>e</w:t>
            </w:r>
          </w:p>
        </w:tc>
      </w:tr>
      <w:tr w14:paraId="68D9D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73C921A1">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FZ</w:t>
            </w:r>
          </w:p>
        </w:tc>
        <w:tc>
          <w:tcPr>
            <w:tcW w:w="871" w:type="dxa"/>
            <w:tcBorders>
              <w:right w:val="single" w:color="auto" w:sz="12" w:space="0"/>
            </w:tcBorders>
            <w:vAlign w:val="center"/>
          </w:tcPr>
          <w:p w14:paraId="061C1A1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left w:val="single" w:color="auto" w:sz="12" w:space="0"/>
            </w:tcBorders>
            <w:vAlign w:val="center"/>
          </w:tcPr>
          <w:p w14:paraId="7F21E74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52B18EF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57.13</w:t>
            </w:r>
          </w:p>
          <w:p w14:paraId="00C6783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±5.54</w:t>
            </w:r>
            <w:r>
              <w:rPr>
                <w:rFonts w:ascii="Times New Roman" w:hAnsi="Times New Roman" w:eastAsia="Times New Roman" w:cs="Times New Roman"/>
                <w:b/>
                <w:bCs/>
                <w:sz w:val="20"/>
                <w:szCs w:val="20"/>
                <w:vertAlign w:val="superscript"/>
              </w:rPr>
              <w:t>bD</w:t>
            </w:r>
          </w:p>
        </w:tc>
        <w:tc>
          <w:tcPr>
            <w:tcW w:w="878" w:type="dxa"/>
            <w:vAlign w:val="center"/>
          </w:tcPr>
          <w:p w14:paraId="58FEB1B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85.06</w:t>
            </w:r>
          </w:p>
          <w:p w14:paraId="3DF3B9B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±2.42</w:t>
            </w:r>
            <w:r>
              <w:rPr>
                <w:rFonts w:ascii="Times New Roman" w:hAnsi="Times New Roman" w:eastAsia="Times New Roman" w:cs="Times New Roman"/>
                <w:b/>
                <w:bCs/>
                <w:sz w:val="20"/>
                <w:szCs w:val="20"/>
                <w:vertAlign w:val="superscript"/>
              </w:rPr>
              <w:t>bC</w:t>
            </w:r>
          </w:p>
        </w:tc>
        <w:tc>
          <w:tcPr>
            <w:tcW w:w="872" w:type="dxa"/>
            <w:vAlign w:val="center"/>
          </w:tcPr>
          <w:p w14:paraId="4A29057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95.60</w:t>
            </w:r>
          </w:p>
          <w:p w14:paraId="22C45BF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±1.81</w:t>
            </w:r>
            <w:r>
              <w:rPr>
                <w:rFonts w:ascii="Times New Roman" w:hAnsi="Times New Roman" w:eastAsia="Times New Roman" w:cs="Times New Roman"/>
                <w:b/>
                <w:bCs/>
                <w:sz w:val="20"/>
                <w:szCs w:val="20"/>
                <w:vertAlign w:val="superscript"/>
              </w:rPr>
              <w:t>aB</w:t>
            </w:r>
          </w:p>
        </w:tc>
        <w:tc>
          <w:tcPr>
            <w:tcW w:w="872" w:type="dxa"/>
            <w:vAlign w:val="center"/>
          </w:tcPr>
          <w:p w14:paraId="6209A8A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7976A1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76CE4F1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3BC476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490BD0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53A2F5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shd w:val="clear" w:color="auto" w:fill="auto"/>
            <w:vAlign w:val="bottom"/>
          </w:tcPr>
          <w:p w14:paraId="0436C632">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76.36</w:t>
            </w:r>
          </w:p>
          <w:p w14:paraId="445E185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±5.48</w:t>
            </w:r>
            <w:r>
              <w:rPr>
                <w:rFonts w:ascii="Times New Roman" w:hAnsi="Times New Roman" w:eastAsia="Times New Roman" w:cs="Times New Roman"/>
                <w:b/>
                <w:bCs/>
                <w:color w:val="FF0000"/>
                <w:sz w:val="20"/>
                <w:szCs w:val="20"/>
                <w:vertAlign w:val="superscript"/>
              </w:rPr>
              <w:t>a</w:t>
            </w:r>
          </w:p>
        </w:tc>
      </w:tr>
      <w:tr w14:paraId="0F60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07C55940">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38FD96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870" w:type="dxa"/>
            <w:tcBorders>
              <w:left w:val="single" w:color="auto" w:sz="12" w:space="0"/>
            </w:tcBorders>
            <w:vAlign w:val="center"/>
          </w:tcPr>
          <w:p w14:paraId="737584C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7E7455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49.87</w:t>
            </w:r>
          </w:p>
          <w:p w14:paraId="5010905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±5.39</w:t>
            </w:r>
            <w:r>
              <w:rPr>
                <w:rFonts w:ascii="Times New Roman" w:hAnsi="Times New Roman" w:eastAsia="Times New Roman" w:cs="Times New Roman"/>
                <w:b/>
                <w:bCs/>
                <w:sz w:val="20"/>
                <w:szCs w:val="20"/>
                <w:vertAlign w:val="superscript"/>
              </w:rPr>
              <w:t>dD</w:t>
            </w:r>
          </w:p>
        </w:tc>
        <w:tc>
          <w:tcPr>
            <w:tcW w:w="878" w:type="dxa"/>
            <w:vAlign w:val="center"/>
          </w:tcPr>
          <w:p w14:paraId="267EBC4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72.13</w:t>
            </w:r>
          </w:p>
          <w:p w14:paraId="670941E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±2.88</w:t>
            </w:r>
            <w:r>
              <w:rPr>
                <w:rFonts w:ascii="Times New Roman" w:hAnsi="Times New Roman" w:eastAsia="Times New Roman" w:cs="Times New Roman"/>
                <w:b/>
                <w:bCs/>
                <w:sz w:val="20"/>
                <w:szCs w:val="20"/>
                <w:vertAlign w:val="superscript"/>
              </w:rPr>
              <w:t>eC</w:t>
            </w:r>
          </w:p>
        </w:tc>
        <w:tc>
          <w:tcPr>
            <w:tcW w:w="872" w:type="dxa"/>
            <w:vAlign w:val="center"/>
          </w:tcPr>
          <w:p w14:paraId="693367B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90.80</w:t>
            </w:r>
          </w:p>
          <w:p w14:paraId="741F5F1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±2.38</w:t>
            </w:r>
            <w:r>
              <w:rPr>
                <w:rFonts w:ascii="Times New Roman" w:hAnsi="Times New Roman" w:eastAsia="Times New Roman" w:cs="Times New Roman"/>
                <w:b/>
                <w:bCs/>
                <w:sz w:val="20"/>
                <w:szCs w:val="20"/>
                <w:vertAlign w:val="superscript"/>
              </w:rPr>
              <w:t>bB</w:t>
            </w:r>
          </w:p>
        </w:tc>
        <w:tc>
          <w:tcPr>
            <w:tcW w:w="872" w:type="dxa"/>
            <w:vAlign w:val="center"/>
          </w:tcPr>
          <w:p w14:paraId="728F5C8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0DE88C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7432285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3434B1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07A52F9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71F731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3C8F453F">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72.27</w:t>
            </w:r>
          </w:p>
          <w:p w14:paraId="5F606072">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±5.26</w:t>
            </w:r>
            <w:r>
              <w:rPr>
                <w:rFonts w:ascii="Times New Roman" w:hAnsi="Times New Roman" w:eastAsia="Times New Roman" w:cs="Times New Roman"/>
                <w:b/>
                <w:bCs/>
                <w:color w:val="FF0000"/>
                <w:sz w:val="20"/>
                <w:szCs w:val="20"/>
                <w:vertAlign w:val="superscript"/>
              </w:rPr>
              <w:t>c</w:t>
            </w:r>
          </w:p>
        </w:tc>
      </w:tr>
      <w:tr w14:paraId="26121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114EF307">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1CCE13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870" w:type="dxa"/>
            <w:tcBorders>
              <w:left w:val="single" w:color="auto" w:sz="12" w:space="0"/>
            </w:tcBorders>
            <w:vAlign w:val="center"/>
          </w:tcPr>
          <w:p w14:paraId="28BC07C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5083EF4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22.17</w:t>
            </w:r>
          </w:p>
          <w:p w14:paraId="708067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±0.99</w:t>
            </w:r>
            <w:r>
              <w:rPr>
                <w:rFonts w:ascii="Times New Roman" w:hAnsi="Times New Roman" w:eastAsia="Times New Roman" w:cs="Times New Roman"/>
                <w:b/>
                <w:bCs/>
                <w:sz w:val="20"/>
                <w:szCs w:val="20"/>
                <w:vertAlign w:val="superscript"/>
              </w:rPr>
              <w:t>fD</w:t>
            </w:r>
          </w:p>
        </w:tc>
        <w:tc>
          <w:tcPr>
            <w:tcW w:w="878" w:type="dxa"/>
            <w:vAlign w:val="center"/>
          </w:tcPr>
          <w:p w14:paraId="0901A7D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48.07</w:t>
            </w:r>
          </w:p>
          <w:p w14:paraId="1F8FF1B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±2.84</w:t>
            </w:r>
            <w:r>
              <w:rPr>
                <w:rFonts w:ascii="Times New Roman" w:hAnsi="Times New Roman" w:eastAsia="Times New Roman" w:cs="Times New Roman"/>
                <w:b/>
                <w:bCs/>
                <w:sz w:val="20"/>
                <w:szCs w:val="20"/>
                <w:vertAlign w:val="superscript"/>
              </w:rPr>
              <w:t>hC</w:t>
            </w:r>
          </w:p>
        </w:tc>
        <w:tc>
          <w:tcPr>
            <w:tcW w:w="872" w:type="dxa"/>
            <w:vAlign w:val="center"/>
          </w:tcPr>
          <w:p w14:paraId="7039C05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65.40</w:t>
            </w:r>
          </w:p>
          <w:p w14:paraId="7293C96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±6.03</w:t>
            </w:r>
            <w:r>
              <w:rPr>
                <w:rFonts w:ascii="Times New Roman" w:hAnsi="Times New Roman" w:eastAsia="Times New Roman" w:cs="Times New Roman"/>
                <w:b/>
                <w:bCs/>
                <w:sz w:val="20"/>
                <w:szCs w:val="20"/>
                <w:vertAlign w:val="superscript"/>
              </w:rPr>
              <w:t>fB</w:t>
            </w:r>
          </w:p>
        </w:tc>
        <w:tc>
          <w:tcPr>
            <w:tcW w:w="872" w:type="dxa"/>
            <w:vAlign w:val="center"/>
          </w:tcPr>
          <w:p w14:paraId="2AA2568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0DD3D8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328D188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9F3331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31FB9B6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C84773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20DD209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62.89</w:t>
            </w:r>
          </w:p>
          <w:p w14:paraId="5E380484">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±5.72</w:t>
            </w:r>
            <w:r>
              <w:rPr>
                <w:rFonts w:ascii="Times New Roman" w:hAnsi="Times New Roman" w:eastAsia="Times New Roman" w:cs="Times New Roman"/>
                <w:b/>
                <w:bCs/>
                <w:color w:val="FF0000"/>
                <w:sz w:val="20"/>
                <w:szCs w:val="20"/>
                <w:vertAlign w:val="superscript"/>
              </w:rPr>
              <w:t>e</w:t>
            </w:r>
          </w:p>
        </w:tc>
      </w:tr>
      <w:tr w14:paraId="48D4E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1EFA7CFF">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FB</w:t>
            </w:r>
          </w:p>
        </w:tc>
        <w:tc>
          <w:tcPr>
            <w:tcW w:w="871" w:type="dxa"/>
            <w:tcBorders>
              <w:right w:val="single" w:color="auto" w:sz="12" w:space="0"/>
            </w:tcBorders>
            <w:vAlign w:val="center"/>
          </w:tcPr>
          <w:p w14:paraId="0A9A151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left w:val="single" w:color="auto" w:sz="12" w:space="0"/>
            </w:tcBorders>
            <w:vAlign w:val="center"/>
          </w:tcPr>
          <w:p w14:paraId="5426B2C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6BA6077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10.21</w:t>
            </w:r>
          </w:p>
          <w:p w14:paraId="5B7A15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±0.84</w:t>
            </w:r>
            <w:r>
              <w:rPr>
                <w:rFonts w:ascii="Times New Roman" w:hAnsi="Times New Roman" w:eastAsia="Times New Roman" w:cs="Times New Roman"/>
                <w:b/>
                <w:bCs/>
                <w:sz w:val="20"/>
                <w:szCs w:val="20"/>
                <w:vertAlign w:val="superscript"/>
              </w:rPr>
              <w:t>iD</w:t>
            </w:r>
          </w:p>
        </w:tc>
        <w:tc>
          <w:tcPr>
            <w:tcW w:w="878" w:type="dxa"/>
            <w:vAlign w:val="center"/>
          </w:tcPr>
          <w:p w14:paraId="75A75AD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29.96</w:t>
            </w:r>
          </w:p>
          <w:p w14:paraId="3054EA1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±1.52</w:t>
            </w:r>
            <w:r>
              <w:rPr>
                <w:rFonts w:ascii="Times New Roman" w:hAnsi="Times New Roman" w:eastAsia="Times New Roman" w:cs="Times New Roman"/>
                <w:b/>
                <w:bCs/>
                <w:sz w:val="20"/>
                <w:szCs w:val="20"/>
                <w:vertAlign w:val="superscript"/>
              </w:rPr>
              <w:t>kC</w:t>
            </w:r>
          </w:p>
        </w:tc>
        <w:tc>
          <w:tcPr>
            <w:tcW w:w="872" w:type="dxa"/>
            <w:vAlign w:val="center"/>
          </w:tcPr>
          <w:p w14:paraId="44A50AC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47.13</w:t>
            </w:r>
          </w:p>
          <w:p w14:paraId="0A9A9A3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±1.81</w:t>
            </w:r>
            <w:r>
              <w:rPr>
                <w:rFonts w:ascii="Times New Roman" w:hAnsi="Times New Roman" w:eastAsia="Times New Roman" w:cs="Times New Roman"/>
                <w:b/>
                <w:bCs/>
                <w:sz w:val="20"/>
                <w:szCs w:val="20"/>
                <w:vertAlign w:val="superscript"/>
              </w:rPr>
              <w:t>iB</w:t>
            </w:r>
          </w:p>
        </w:tc>
        <w:tc>
          <w:tcPr>
            <w:tcW w:w="872" w:type="dxa"/>
            <w:vAlign w:val="center"/>
          </w:tcPr>
          <w:p w14:paraId="681B968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56ADC1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6F8A1B6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04AD98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7286C01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68516B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2AC53FD3">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55.79</w:t>
            </w:r>
          </w:p>
          <w:p w14:paraId="6C2E5738">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±5.85</w:t>
            </w:r>
            <w:r>
              <w:rPr>
                <w:rFonts w:ascii="Times New Roman" w:hAnsi="Times New Roman" w:eastAsia="Times New Roman" w:cs="Times New Roman"/>
                <w:b/>
                <w:bCs/>
                <w:color w:val="FF0000"/>
                <w:sz w:val="20"/>
                <w:szCs w:val="20"/>
                <w:vertAlign w:val="superscript"/>
              </w:rPr>
              <w:t>g</w:t>
            </w:r>
          </w:p>
        </w:tc>
      </w:tr>
      <w:tr w14:paraId="5FB7A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B1AD51D">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3F6E796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870" w:type="dxa"/>
            <w:tcBorders>
              <w:left w:val="single" w:color="auto" w:sz="12" w:space="0"/>
            </w:tcBorders>
            <w:vAlign w:val="center"/>
          </w:tcPr>
          <w:p w14:paraId="0C33286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21A29B3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5.29</w:t>
            </w:r>
          </w:p>
          <w:p w14:paraId="7628661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±0.89</w:t>
            </w:r>
            <w:r>
              <w:rPr>
                <w:rFonts w:ascii="Times New Roman" w:hAnsi="Times New Roman" w:eastAsia="Times New Roman" w:cs="Times New Roman"/>
                <w:b/>
                <w:bCs/>
                <w:sz w:val="20"/>
                <w:szCs w:val="20"/>
                <w:vertAlign w:val="superscript"/>
              </w:rPr>
              <w:t>jD</w:t>
            </w:r>
          </w:p>
        </w:tc>
        <w:tc>
          <w:tcPr>
            <w:tcW w:w="878" w:type="dxa"/>
            <w:vAlign w:val="center"/>
          </w:tcPr>
          <w:p w14:paraId="06E2530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19.92</w:t>
            </w:r>
          </w:p>
          <w:p w14:paraId="3398345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±2.08</w:t>
            </w:r>
            <w:r>
              <w:rPr>
                <w:rFonts w:ascii="Times New Roman" w:hAnsi="Times New Roman" w:eastAsia="Times New Roman" w:cs="Times New Roman"/>
                <w:b/>
                <w:bCs/>
                <w:sz w:val="20"/>
                <w:szCs w:val="20"/>
                <w:vertAlign w:val="superscript"/>
              </w:rPr>
              <w:t>lC</w:t>
            </w:r>
          </w:p>
        </w:tc>
        <w:tc>
          <w:tcPr>
            <w:tcW w:w="872" w:type="dxa"/>
            <w:vAlign w:val="center"/>
          </w:tcPr>
          <w:p w14:paraId="711CF70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30.04</w:t>
            </w:r>
          </w:p>
          <w:p w14:paraId="7F3D7FF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±1.85</w:t>
            </w:r>
            <w:r>
              <w:rPr>
                <w:rFonts w:ascii="Times New Roman" w:hAnsi="Times New Roman" w:eastAsia="Times New Roman" w:cs="Times New Roman"/>
                <w:b/>
                <w:bCs/>
                <w:sz w:val="20"/>
                <w:szCs w:val="20"/>
                <w:vertAlign w:val="superscript"/>
              </w:rPr>
              <w:t>lB</w:t>
            </w:r>
          </w:p>
        </w:tc>
        <w:tc>
          <w:tcPr>
            <w:tcW w:w="872" w:type="dxa"/>
            <w:vAlign w:val="center"/>
          </w:tcPr>
          <w:p w14:paraId="7562F80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0D2018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439181E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031E12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549835C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E547A4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39E48F60">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50.75</w:t>
            </w:r>
          </w:p>
          <w:p w14:paraId="105D209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±5.89</w:t>
            </w:r>
            <w:r>
              <w:rPr>
                <w:rFonts w:ascii="Times New Roman" w:hAnsi="Times New Roman" w:eastAsia="Times New Roman" w:cs="Times New Roman"/>
                <w:b/>
                <w:bCs/>
                <w:color w:val="FF0000"/>
                <w:sz w:val="20"/>
                <w:szCs w:val="20"/>
                <w:vertAlign w:val="superscript"/>
              </w:rPr>
              <w:t>h</w:t>
            </w:r>
          </w:p>
        </w:tc>
      </w:tr>
      <w:tr w14:paraId="1CF7F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43290A5">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42E3D93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870" w:type="dxa"/>
            <w:tcBorders>
              <w:left w:val="single" w:color="auto" w:sz="12" w:space="0"/>
            </w:tcBorders>
            <w:vAlign w:val="center"/>
          </w:tcPr>
          <w:p w14:paraId="3A10F39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375CBA5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kD</w:t>
            </w:r>
          </w:p>
        </w:tc>
        <w:tc>
          <w:tcPr>
            <w:tcW w:w="878" w:type="dxa"/>
            <w:vAlign w:val="center"/>
          </w:tcPr>
          <w:p w14:paraId="7B64C1E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15.13</w:t>
            </w:r>
          </w:p>
          <w:p w14:paraId="63701DF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±1.60</w:t>
            </w:r>
            <w:r>
              <w:rPr>
                <w:rFonts w:ascii="Times New Roman" w:hAnsi="Times New Roman" w:eastAsia="Times New Roman" w:cs="Times New Roman"/>
                <w:b/>
                <w:bCs/>
                <w:sz w:val="20"/>
                <w:szCs w:val="20"/>
                <w:vertAlign w:val="superscript"/>
              </w:rPr>
              <w:t>mC</w:t>
            </w:r>
          </w:p>
        </w:tc>
        <w:tc>
          <w:tcPr>
            <w:tcW w:w="872" w:type="dxa"/>
            <w:vAlign w:val="center"/>
          </w:tcPr>
          <w:p w14:paraId="5F39DB5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19.71</w:t>
            </w:r>
          </w:p>
          <w:p w14:paraId="49A0F10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±1.16</w:t>
            </w:r>
            <w:r>
              <w:rPr>
                <w:rFonts w:ascii="Times New Roman" w:hAnsi="Times New Roman" w:eastAsia="Times New Roman" w:cs="Times New Roman"/>
                <w:b/>
                <w:bCs/>
                <w:sz w:val="20"/>
                <w:szCs w:val="20"/>
                <w:vertAlign w:val="superscript"/>
              </w:rPr>
              <w:t>mB</w:t>
            </w:r>
          </w:p>
        </w:tc>
        <w:tc>
          <w:tcPr>
            <w:tcW w:w="872" w:type="dxa"/>
            <w:vAlign w:val="center"/>
          </w:tcPr>
          <w:p w14:paraId="3E4A56A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4EB33B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0E2BAE4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CCA8A0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411D0D8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29C9A4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1CD6A1E2">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47.83</w:t>
            </w:r>
          </w:p>
          <w:p w14:paraId="710D0EA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±6.16</w:t>
            </w:r>
            <w:r>
              <w:rPr>
                <w:rFonts w:ascii="Times New Roman" w:hAnsi="Times New Roman" w:eastAsia="Times New Roman" w:cs="Times New Roman"/>
                <w:b/>
                <w:bCs/>
                <w:color w:val="FF0000"/>
                <w:sz w:val="20"/>
                <w:szCs w:val="20"/>
                <w:vertAlign w:val="superscript"/>
              </w:rPr>
              <w:t>i</w:t>
            </w:r>
          </w:p>
        </w:tc>
      </w:tr>
      <w:tr w14:paraId="6E2E5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6F8AAD0A">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FC</w:t>
            </w:r>
          </w:p>
        </w:tc>
        <w:tc>
          <w:tcPr>
            <w:tcW w:w="871" w:type="dxa"/>
            <w:tcBorders>
              <w:right w:val="single" w:color="auto" w:sz="12" w:space="0"/>
            </w:tcBorders>
            <w:vAlign w:val="center"/>
          </w:tcPr>
          <w:p w14:paraId="361D549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left w:val="single" w:color="auto" w:sz="12" w:space="0"/>
            </w:tcBorders>
            <w:vAlign w:val="center"/>
          </w:tcPr>
          <w:p w14:paraId="1E4202C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6571B72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53.50</w:t>
            </w:r>
          </w:p>
          <w:p w14:paraId="568B4C3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±6.33</w:t>
            </w:r>
            <w:r>
              <w:rPr>
                <w:rFonts w:ascii="Times New Roman" w:hAnsi="Times New Roman" w:eastAsia="Times New Roman" w:cs="Times New Roman"/>
                <w:b/>
                <w:bCs/>
                <w:sz w:val="20"/>
                <w:szCs w:val="20"/>
                <w:vertAlign w:val="superscript"/>
              </w:rPr>
              <w:t>cD</w:t>
            </w:r>
          </w:p>
        </w:tc>
        <w:tc>
          <w:tcPr>
            <w:tcW w:w="878" w:type="dxa"/>
            <w:vAlign w:val="center"/>
          </w:tcPr>
          <w:p w14:paraId="38F7FB6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81.47</w:t>
            </w:r>
          </w:p>
          <w:p w14:paraId="1C73757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±4.97</w:t>
            </w:r>
            <w:r>
              <w:rPr>
                <w:rFonts w:ascii="Times New Roman" w:hAnsi="Times New Roman" w:eastAsia="Times New Roman" w:cs="Times New Roman"/>
                <w:b/>
                <w:bCs/>
                <w:sz w:val="20"/>
                <w:szCs w:val="20"/>
                <w:vertAlign w:val="superscript"/>
              </w:rPr>
              <w:t>cC</w:t>
            </w:r>
          </w:p>
        </w:tc>
        <w:tc>
          <w:tcPr>
            <w:tcW w:w="872" w:type="dxa"/>
            <w:shd w:val="clear" w:color="auto" w:fill="FFFFFF" w:themeFill="background1"/>
            <w:vAlign w:val="center"/>
          </w:tcPr>
          <w:p w14:paraId="146DCC5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91.33</w:t>
            </w:r>
          </w:p>
          <w:p w14:paraId="5345005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±2.73</w:t>
            </w:r>
            <w:r>
              <w:rPr>
                <w:rFonts w:ascii="Times New Roman" w:hAnsi="Times New Roman" w:eastAsia="Times New Roman" w:cs="Times New Roman"/>
                <w:b/>
                <w:bCs/>
                <w:sz w:val="20"/>
                <w:szCs w:val="20"/>
                <w:vertAlign w:val="superscript"/>
              </w:rPr>
              <w:t>bB</w:t>
            </w:r>
          </w:p>
        </w:tc>
        <w:tc>
          <w:tcPr>
            <w:tcW w:w="872" w:type="dxa"/>
            <w:vAlign w:val="center"/>
          </w:tcPr>
          <w:p w14:paraId="192B088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2F33E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68A10B4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539D13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161B4C6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04F9C3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shd w:val="clear" w:color="auto" w:fill="FFFFFF" w:themeFill="background1"/>
            <w:vAlign w:val="bottom"/>
          </w:tcPr>
          <w:p w14:paraId="79296AD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75.19</w:t>
            </w:r>
          </w:p>
          <w:p w14:paraId="44F460B2">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±5.55</w:t>
            </w:r>
            <w:r>
              <w:rPr>
                <w:rFonts w:ascii="Times New Roman" w:hAnsi="Times New Roman" w:eastAsia="Times New Roman" w:cs="Times New Roman"/>
                <w:b/>
                <w:bCs/>
                <w:color w:val="FF0000"/>
                <w:sz w:val="20"/>
                <w:szCs w:val="20"/>
                <w:vertAlign w:val="superscript"/>
              </w:rPr>
              <w:t>a</w:t>
            </w:r>
          </w:p>
        </w:tc>
      </w:tr>
      <w:tr w14:paraId="7F712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0284528B">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295F4E8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870" w:type="dxa"/>
            <w:tcBorders>
              <w:left w:val="single" w:color="auto" w:sz="12" w:space="0"/>
            </w:tcBorders>
            <w:vAlign w:val="center"/>
          </w:tcPr>
          <w:p w14:paraId="4854551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6650CE6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49.47</w:t>
            </w:r>
          </w:p>
          <w:p w14:paraId="450B6C6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±4.94</w:t>
            </w:r>
            <w:r>
              <w:rPr>
                <w:rFonts w:ascii="Times New Roman" w:hAnsi="Times New Roman" w:eastAsia="Times New Roman" w:cs="Times New Roman"/>
                <w:b/>
                <w:bCs/>
                <w:sz w:val="20"/>
                <w:szCs w:val="20"/>
                <w:vertAlign w:val="superscript"/>
              </w:rPr>
              <w:t>dD</w:t>
            </w:r>
          </w:p>
        </w:tc>
        <w:tc>
          <w:tcPr>
            <w:tcW w:w="878" w:type="dxa"/>
            <w:vAlign w:val="center"/>
          </w:tcPr>
          <w:p w14:paraId="624BB37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77.40</w:t>
            </w:r>
          </w:p>
          <w:p w14:paraId="0D2FDD1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±3.40</w:t>
            </w:r>
            <w:r>
              <w:rPr>
                <w:rFonts w:ascii="Times New Roman" w:hAnsi="Times New Roman" w:eastAsia="Times New Roman" w:cs="Times New Roman"/>
                <w:b/>
                <w:bCs/>
                <w:sz w:val="20"/>
                <w:szCs w:val="20"/>
                <w:vertAlign w:val="superscript"/>
              </w:rPr>
              <w:t>dC</w:t>
            </w:r>
          </w:p>
        </w:tc>
        <w:tc>
          <w:tcPr>
            <w:tcW w:w="872" w:type="dxa"/>
            <w:shd w:val="clear" w:color="auto" w:fill="FFFFFF" w:themeFill="background1"/>
            <w:vAlign w:val="center"/>
          </w:tcPr>
          <w:p w14:paraId="004118B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79.00</w:t>
            </w:r>
          </w:p>
          <w:p w14:paraId="5C5EE7A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±5.68</w:t>
            </w:r>
            <w:r>
              <w:rPr>
                <w:rFonts w:ascii="Times New Roman" w:hAnsi="Times New Roman" w:eastAsia="Times New Roman" w:cs="Times New Roman"/>
                <w:b/>
                <w:bCs/>
                <w:sz w:val="20"/>
                <w:szCs w:val="20"/>
                <w:vertAlign w:val="superscript"/>
              </w:rPr>
              <w:t>cB</w:t>
            </w:r>
          </w:p>
        </w:tc>
        <w:tc>
          <w:tcPr>
            <w:tcW w:w="872" w:type="dxa"/>
            <w:vAlign w:val="center"/>
          </w:tcPr>
          <w:p w14:paraId="3FE98EB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E15E32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28B8C1C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2EF1BB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3A06A08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B48661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shd w:val="clear" w:color="auto" w:fill="FFFFFF" w:themeFill="background1"/>
            <w:vAlign w:val="bottom"/>
          </w:tcPr>
          <w:p w14:paraId="1380F8B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72.27</w:t>
            </w:r>
          </w:p>
          <w:p w14:paraId="55D24A1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±5.50</w:t>
            </w:r>
            <w:r>
              <w:rPr>
                <w:rFonts w:ascii="Times New Roman" w:hAnsi="Times New Roman" w:eastAsia="Times New Roman" w:cs="Times New Roman"/>
                <w:b/>
                <w:bCs/>
                <w:color w:val="FF0000"/>
                <w:sz w:val="20"/>
                <w:szCs w:val="20"/>
                <w:vertAlign w:val="superscript"/>
              </w:rPr>
              <w:t>b</w:t>
            </w:r>
          </w:p>
        </w:tc>
      </w:tr>
      <w:tr w14:paraId="54855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328D76C7">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78128C8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870" w:type="dxa"/>
            <w:tcBorders>
              <w:left w:val="single" w:color="auto" w:sz="12" w:space="0"/>
            </w:tcBorders>
            <w:vAlign w:val="center"/>
          </w:tcPr>
          <w:p w14:paraId="7AA607E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4E89581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44.00</w:t>
            </w:r>
          </w:p>
          <w:p w14:paraId="060484D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±4.19</w:t>
            </w:r>
            <w:r>
              <w:rPr>
                <w:rFonts w:ascii="Times New Roman" w:hAnsi="Times New Roman" w:eastAsia="Times New Roman" w:cs="Times New Roman"/>
                <w:b/>
                <w:bCs/>
                <w:sz w:val="20"/>
                <w:szCs w:val="20"/>
                <w:vertAlign w:val="superscript"/>
              </w:rPr>
              <w:t>eD</w:t>
            </w:r>
          </w:p>
        </w:tc>
        <w:tc>
          <w:tcPr>
            <w:tcW w:w="878" w:type="dxa"/>
            <w:vAlign w:val="center"/>
          </w:tcPr>
          <w:p w14:paraId="76688E2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55.53</w:t>
            </w:r>
          </w:p>
          <w:p w14:paraId="2421956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±2.50</w:t>
            </w:r>
            <w:r>
              <w:rPr>
                <w:rFonts w:ascii="Times New Roman" w:hAnsi="Times New Roman" w:eastAsia="Times New Roman" w:cs="Times New Roman"/>
                <w:b/>
                <w:bCs/>
                <w:sz w:val="20"/>
                <w:szCs w:val="20"/>
                <w:vertAlign w:val="superscript"/>
              </w:rPr>
              <w:t>gC</w:t>
            </w:r>
          </w:p>
        </w:tc>
        <w:tc>
          <w:tcPr>
            <w:tcW w:w="872" w:type="dxa"/>
            <w:vAlign w:val="center"/>
          </w:tcPr>
          <w:p w14:paraId="376C7AC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73.53</w:t>
            </w:r>
          </w:p>
          <w:p w14:paraId="57AF54F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±2.82</w:t>
            </w:r>
            <w:r>
              <w:rPr>
                <w:rFonts w:ascii="Times New Roman" w:hAnsi="Times New Roman" w:eastAsia="Times New Roman" w:cs="Times New Roman"/>
                <w:b/>
                <w:bCs/>
                <w:sz w:val="20"/>
                <w:szCs w:val="20"/>
                <w:vertAlign w:val="superscript"/>
              </w:rPr>
              <w:t>dB</w:t>
            </w:r>
          </w:p>
        </w:tc>
        <w:tc>
          <w:tcPr>
            <w:tcW w:w="872" w:type="dxa"/>
            <w:vAlign w:val="center"/>
          </w:tcPr>
          <w:p w14:paraId="7C5BBA2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60096D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3FA7DD4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25E0832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31131B0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5016C9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62AF6612">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67.95</w:t>
            </w:r>
          </w:p>
          <w:p w14:paraId="7DEBA77D">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±5.28</w:t>
            </w:r>
            <w:r>
              <w:rPr>
                <w:rFonts w:ascii="Times New Roman" w:hAnsi="Times New Roman" w:eastAsia="Times New Roman" w:cs="Times New Roman"/>
                <w:b/>
                <w:bCs/>
                <w:color w:val="FF0000"/>
                <w:sz w:val="20"/>
                <w:szCs w:val="20"/>
                <w:vertAlign w:val="superscript"/>
              </w:rPr>
              <w:t>d</w:t>
            </w:r>
          </w:p>
        </w:tc>
      </w:tr>
      <w:tr w14:paraId="2AB91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1A4BC2FA">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FO</w:t>
            </w:r>
          </w:p>
        </w:tc>
        <w:tc>
          <w:tcPr>
            <w:tcW w:w="871" w:type="dxa"/>
            <w:tcBorders>
              <w:right w:val="single" w:color="auto" w:sz="12" w:space="0"/>
            </w:tcBorders>
            <w:vAlign w:val="center"/>
          </w:tcPr>
          <w:p w14:paraId="6783BAD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left w:val="single" w:color="auto" w:sz="12" w:space="0"/>
            </w:tcBorders>
            <w:vAlign w:val="center"/>
          </w:tcPr>
          <w:p w14:paraId="43A4025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05FB29A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20.00</w:t>
            </w:r>
          </w:p>
          <w:p w14:paraId="0F791E1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±1.51</w:t>
            </w:r>
            <w:r>
              <w:rPr>
                <w:rFonts w:ascii="Times New Roman" w:hAnsi="Times New Roman" w:eastAsia="Times New Roman" w:cs="Times New Roman"/>
                <w:b/>
                <w:bCs/>
                <w:sz w:val="20"/>
                <w:szCs w:val="20"/>
                <w:vertAlign w:val="superscript"/>
              </w:rPr>
              <w:t>gD</w:t>
            </w:r>
          </w:p>
        </w:tc>
        <w:tc>
          <w:tcPr>
            <w:tcW w:w="878" w:type="dxa"/>
            <w:vAlign w:val="center"/>
          </w:tcPr>
          <w:p w14:paraId="34853ED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30.08</w:t>
            </w:r>
          </w:p>
          <w:p w14:paraId="76C78A3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±1.46</w:t>
            </w:r>
            <w:r>
              <w:rPr>
                <w:rFonts w:ascii="Times New Roman" w:hAnsi="Times New Roman" w:eastAsia="Times New Roman" w:cs="Times New Roman"/>
                <w:b/>
                <w:bCs/>
                <w:sz w:val="20"/>
                <w:szCs w:val="20"/>
                <w:vertAlign w:val="superscript"/>
              </w:rPr>
              <w:t>kC</w:t>
            </w:r>
          </w:p>
        </w:tc>
        <w:tc>
          <w:tcPr>
            <w:tcW w:w="872" w:type="dxa"/>
            <w:vAlign w:val="center"/>
          </w:tcPr>
          <w:p w14:paraId="600DC22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54.40</w:t>
            </w:r>
          </w:p>
          <w:p w14:paraId="0ADE6D7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±3.55</w:t>
            </w:r>
            <w:r>
              <w:rPr>
                <w:rFonts w:ascii="Times New Roman" w:hAnsi="Times New Roman" w:eastAsia="Times New Roman" w:cs="Times New Roman"/>
                <w:b/>
                <w:bCs/>
                <w:sz w:val="20"/>
                <w:szCs w:val="20"/>
                <w:vertAlign w:val="superscript"/>
              </w:rPr>
              <w:t>hB</w:t>
            </w:r>
          </w:p>
        </w:tc>
        <w:tc>
          <w:tcPr>
            <w:tcW w:w="872" w:type="dxa"/>
            <w:vAlign w:val="center"/>
          </w:tcPr>
          <w:p w14:paraId="121B695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0A618E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3F1578D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5CA52D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2DD8971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928FB6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6442C65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57.97</w:t>
            </w:r>
          </w:p>
          <w:p w14:paraId="70C0ACFB">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±5.64</w:t>
            </w:r>
            <w:r>
              <w:rPr>
                <w:rFonts w:ascii="Times New Roman" w:hAnsi="Times New Roman" w:eastAsia="Times New Roman" w:cs="Times New Roman"/>
                <w:b/>
                <w:bCs/>
                <w:color w:val="FF0000"/>
                <w:sz w:val="20"/>
                <w:szCs w:val="20"/>
                <w:vertAlign w:val="superscript"/>
              </w:rPr>
              <w:t>f</w:t>
            </w:r>
          </w:p>
        </w:tc>
      </w:tr>
      <w:tr w14:paraId="299D6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1A071D07">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1DF154E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870" w:type="dxa"/>
            <w:tcBorders>
              <w:left w:val="single" w:color="auto" w:sz="12" w:space="0"/>
            </w:tcBorders>
            <w:vAlign w:val="center"/>
          </w:tcPr>
          <w:p w14:paraId="4E5421E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0CA6576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15.08</w:t>
            </w:r>
          </w:p>
          <w:p w14:paraId="647460F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±2.07</w:t>
            </w:r>
            <w:r>
              <w:rPr>
                <w:rFonts w:ascii="Times New Roman" w:hAnsi="Times New Roman" w:eastAsia="Times New Roman" w:cs="Times New Roman"/>
                <w:b/>
                <w:bCs/>
                <w:sz w:val="20"/>
                <w:szCs w:val="20"/>
                <w:vertAlign w:val="superscript"/>
              </w:rPr>
              <w:t>hD</w:t>
            </w:r>
          </w:p>
        </w:tc>
        <w:tc>
          <w:tcPr>
            <w:tcW w:w="878" w:type="dxa"/>
            <w:vAlign w:val="center"/>
          </w:tcPr>
          <w:p w14:paraId="5FB7B27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19.04</w:t>
            </w:r>
          </w:p>
          <w:p w14:paraId="2545C8C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±1.56</w:t>
            </w:r>
            <w:r>
              <w:rPr>
                <w:rFonts w:ascii="Times New Roman" w:hAnsi="Times New Roman" w:eastAsia="Times New Roman" w:cs="Times New Roman"/>
                <w:b/>
                <w:bCs/>
                <w:sz w:val="20"/>
                <w:szCs w:val="20"/>
                <w:vertAlign w:val="superscript"/>
              </w:rPr>
              <w:t>lC</w:t>
            </w:r>
          </w:p>
        </w:tc>
        <w:tc>
          <w:tcPr>
            <w:tcW w:w="872" w:type="dxa"/>
            <w:vAlign w:val="center"/>
          </w:tcPr>
          <w:p w14:paraId="0133924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29.96</w:t>
            </w:r>
          </w:p>
          <w:p w14:paraId="32801C9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±1.60</w:t>
            </w:r>
            <w:r>
              <w:rPr>
                <w:rFonts w:ascii="Times New Roman" w:hAnsi="Times New Roman" w:eastAsia="Times New Roman" w:cs="Times New Roman"/>
                <w:b/>
                <w:bCs/>
                <w:sz w:val="20"/>
                <w:szCs w:val="20"/>
                <w:vertAlign w:val="superscript"/>
              </w:rPr>
              <w:t>kB</w:t>
            </w:r>
          </w:p>
        </w:tc>
        <w:tc>
          <w:tcPr>
            <w:tcW w:w="872" w:type="dxa"/>
            <w:vAlign w:val="center"/>
          </w:tcPr>
          <w:p w14:paraId="77D5A26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9C4FF3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757F80F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783BFC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5461F22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C94152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67FCD94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52.01</w:t>
            </w:r>
          </w:p>
          <w:p w14:paraId="6A285DA5">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±5.72</w:t>
            </w:r>
            <w:r>
              <w:rPr>
                <w:rFonts w:ascii="Times New Roman" w:hAnsi="Times New Roman" w:eastAsia="Times New Roman" w:cs="Times New Roman"/>
                <w:b/>
                <w:bCs/>
                <w:color w:val="FF0000"/>
                <w:sz w:val="20"/>
                <w:szCs w:val="20"/>
                <w:vertAlign w:val="superscript"/>
              </w:rPr>
              <w:t>h</w:t>
            </w:r>
          </w:p>
        </w:tc>
      </w:tr>
      <w:tr w14:paraId="75338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17CBD600">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01DD769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870" w:type="dxa"/>
            <w:tcBorders>
              <w:left w:val="single" w:color="auto" w:sz="12" w:space="0"/>
            </w:tcBorders>
            <w:vAlign w:val="center"/>
          </w:tcPr>
          <w:p w14:paraId="281A9E3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2033D83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kD</w:t>
            </w:r>
          </w:p>
        </w:tc>
        <w:tc>
          <w:tcPr>
            <w:tcW w:w="878" w:type="dxa"/>
            <w:vAlign w:val="center"/>
          </w:tcPr>
          <w:p w14:paraId="7FFB27C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4.83</w:t>
            </w:r>
          </w:p>
          <w:p w14:paraId="6131B6B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±0.56</w:t>
            </w:r>
            <w:r>
              <w:rPr>
                <w:rFonts w:ascii="Times New Roman" w:hAnsi="Times New Roman" w:eastAsia="Times New Roman" w:cs="Times New Roman"/>
                <w:b/>
                <w:bCs/>
                <w:sz w:val="20"/>
                <w:szCs w:val="20"/>
                <w:vertAlign w:val="superscript"/>
              </w:rPr>
              <w:t>nC</w:t>
            </w:r>
          </w:p>
        </w:tc>
        <w:tc>
          <w:tcPr>
            <w:tcW w:w="872" w:type="dxa"/>
            <w:vAlign w:val="center"/>
          </w:tcPr>
          <w:p w14:paraId="4B3A5D0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25.42</w:t>
            </w:r>
          </w:p>
          <w:p w14:paraId="190F75E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±2.05</w:t>
            </w:r>
            <w:r>
              <w:rPr>
                <w:rFonts w:ascii="Times New Roman" w:hAnsi="Times New Roman" w:eastAsia="Times New Roman" w:cs="Times New Roman"/>
                <w:b/>
                <w:bCs/>
                <w:sz w:val="20"/>
                <w:szCs w:val="20"/>
                <w:vertAlign w:val="superscript"/>
              </w:rPr>
              <w:t>lB</w:t>
            </w:r>
          </w:p>
        </w:tc>
        <w:tc>
          <w:tcPr>
            <w:tcW w:w="872" w:type="dxa"/>
            <w:vAlign w:val="center"/>
          </w:tcPr>
          <w:p w14:paraId="012B577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6C758A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58A1ECF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70DB32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439EA1B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37AE5B9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36FDA573">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47.18</w:t>
            </w:r>
          </w:p>
          <w:p w14:paraId="3BC0F994">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±6.27</w:t>
            </w:r>
            <w:r>
              <w:rPr>
                <w:rFonts w:ascii="Times New Roman" w:hAnsi="Times New Roman" w:eastAsia="Times New Roman" w:cs="Times New Roman"/>
                <w:b/>
                <w:bCs/>
                <w:color w:val="FF0000"/>
                <w:sz w:val="20"/>
                <w:szCs w:val="20"/>
                <w:vertAlign w:val="superscript"/>
              </w:rPr>
              <w:t>i</w:t>
            </w:r>
          </w:p>
        </w:tc>
      </w:tr>
      <w:tr w14:paraId="7A5B2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544B6BF4">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4"/>
                <w:szCs w:val="24"/>
                <w:lang w:eastAsia="ar-SA" w:bidi="ar-EG"/>
              </w:rPr>
              <w:t>FP</w:t>
            </w:r>
          </w:p>
        </w:tc>
        <w:tc>
          <w:tcPr>
            <w:tcW w:w="871" w:type="dxa"/>
            <w:tcBorders>
              <w:right w:val="single" w:color="auto" w:sz="12" w:space="0"/>
            </w:tcBorders>
            <w:vAlign w:val="center"/>
          </w:tcPr>
          <w:p w14:paraId="6C79497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1.50</w:t>
            </w:r>
          </w:p>
        </w:tc>
        <w:tc>
          <w:tcPr>
            <w:tcW w:w="870" w:type="dxa"/>
            <w:tcBorders>
              <w:left w:val="single" w:color="auto" w:sz="12" w:space="0"/>
            </w:tcBorders>
            <w:vAlign w:val="center"/>
          </w:tcPr>
          <w:p w14:paraId="0404C55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46140D7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10.00</w:t>
            </w:r>
          </w:p>
          <w:p w14:paraId="0A54C3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±0.79</w:t>
            </w:r>
            <w:r>
              <w:rPr>
                <w:rFonts w:ascii="Times New Roman" w:hAnsi="Times New Roman" w:eastAsia="Times New Roman" w:cs="Times New Roman"/>
                <w:b/>
                <w:bCs/>
                <w:sz w:val="20"/>
                <w:szCs w:val="20"/>
                <w:vertAlign w:val="superscript"/>
              </w:rPr>
              <w:t>iD</w:t>
            </w:r>
          </w:p>
        </w:tc>
        <w:tc>
          <w:tcPr>
            <w:tcW w:w="878" w:type="dxa"/>
            <w:vAlign w:val="center"/>
          </w:tcPr>
          <w:p w14:paraId="70C9C91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35.43</w:t>
            </w:r>
          </w:p>
          <w:p w14:paraId="08354FE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±1.21</w:t>
            </w:r>
            <w:r>
              <w:rPr>
                <w:rFonts w:ascii="Times New Roman" w:hAnsi="Times New Roman" w:eastAsia="Times New Roman" w:cs="Times New Roman"/>
                <w:b/>
                <w:bCs/>
                <w:sz w:val="20"/>
                <w:szCs w:val="20"/>
                <w:vertAlign w:val="superscript"/>
              </w:rPr>
              <w:t>jC</w:t>
            </w:r>
          </w:p>
        </w:tc>
        <w:tc>
          <w:tcPr>
            <w:tcW w:w="872" w:type="dxa"/>
            <w:vAlign w:val="center"/>
          </w:tcPr>
          <w:p w14:paraId="0046254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46.53</w:t>
            </w:r>
          </w:p>
          <w:p w14:paraId="1E10298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±3.86</w:t>
            </w:r>
            <w:r>
              <w:rPr>
                <w:rFonts w:ascii="Times New Roman" w:hAnsi="Times New Roman" w:eastAsia="Times New Roman" w:cs="Times New Roman"/>
                <w:b/>
                <w:bCs/>
                <w:sz w:val="20"/>
                <w:szCs w:val="20"/>
                <w:vertAlign w:val="superscript"/>
              </w:rPr>
              <w:t>iB</w:t>
            </w:r>
          </w:p>
        </w:tc>
        <w:tc>
          <w:tcPr>
            <w:tcW w:w="872" w:type="dxa"/>
            <w:vAlign w:val="center"/>
          </w:tcPr>
          <w:p w14:paraId="6D14C2C7">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50814C1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0B52167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7344E2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5CA6611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5E6A68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2C8FBC0C">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56.94</w:t>
            </w:r>
          </w:p>
          <w:p w14:paraId="212DEFF4">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±5.90</w:t>
            </w:r>
            <w:r>
              <w:rPr>
                <w:rFonts w:ascii="Times New Roman" w:hAnsi="Times New Roman" w:eastAsia="Times New Roman" w:cs="Times New Roman"/>
                <w:b/>
                <w:bCs/>
                <w:color w:val="FF0000"/>
                <w:sz w:val="20"/>
                <w:szCs w:val="20"/>
                <w:vertAlign w:val="superscript"/>
              </w:rPr>
              <w:t>fg</w:t>
            </w:r>
          </w:p>
        </w:tc>
      </w:tr>
      <w:tr w14:paraId="262AC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1583F533">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0262689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0.75</w:t>
            </w:r>
          </w:p>
        </w:tc>
        <w:tc>
          <w:tcPr>
            <w:tcW w:w="870" w:type="dxa"/>
            <w:tcBorders>
              <w:left w:val="single" w:color="auto" w:sz="12" w:space="0"/>
            </w:tcBorders>
            <w:vAlign w:val="center"/>
          </w:tcPr>
          <w:p w14:paraId="1453322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56B734E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5.04</w:t>
            </w:r>
          </w:p>
          <w:p w14:paraId="4D7601C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±0.58</w:t>
            </w:r>
            <w:r>
              <w:rPr>
                <w:rFonts w:ascii="Times New Roman" w:hAnsi="Times New Roman" w:eastAsia="Times New Roman" w:cs="Times New Roman"/>
                <w:b/>
                <w:bCs/>
                <w:sz w:val="20"/>
                <w:szCs w:val="20"/>
                <w:vertAlign w:val="superscript"/>
              </w:rPr>
              <w:t>jD</w:t>
            </w:r>
          </w:p>
        </w:tc>
        <w:tc>
          <w:tcPr>
            <w:tcW w:w="878" w:type="dxa"/>
            <w:vAlign w:val="center"/>
          </w:tcPr>
          <w:p w14:paraId="432FD490">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18.46</w:t>
            </w:r>
          </w:p>
          <w:p w14:paraId="1CFA6F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±1.35</w:t>
            </w:r>
            <w:r>
              <w:rPr>
                <w:rFonts w:ascii="Times New Roman" w:hAnsi="Times New Roman" w:eastAsia="Times New Roman" w:cs="Times New Roman"/>
                <w:b/>
                <w:bCs/>
                <w:sz w:val="20"/>
                <w:szCs w:val="20"/>
                <w:vertAlign w:val="superscript"/>
              </w:rPr>
              <w:t>lC</w:t>
            </w:r>
          </w:p>
        </w:tc>
        <w:tc>
          <w:tcPr>
            <w:tcW w:w="872" w:type="dxa"/>
            <w:vAlign w:val="center"/>
          </w:tcPr>
          <w:p w14:paraId="4EA3D7B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36.00</w:t>
            </w:r>
          </w:p>
          <w:p w14:paraId="7E978FC6">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±2.22</w:t>
            </w:r>
            <w:r>
              <w:rPr>
                <w:rFonts w:ascii="Times New Roman" w:hAnsi="Times New Roman" w:eastAsia="Times New Roman" w:cs="Times New Roman"/>
                <w:b/>
                <w:bCs/>
                <w:sz w:val="20"/>
                <w:szCs w:val="20"/>
                <w:vertAlign w:val="superscript"/>
              </w:rPr>
              <w:t>jB</w:t>
            </w:r>
          </w:p>
        </w:tc>
        <w:tc>
          <w:tcPr>
            <w:tcW w:w="872" w:type="dxa"/>
            <w:vAlign w:val="center"/>
          </w:tcPr>
          <w:p w14:paraId="1773884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63FF47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1E926FE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72DC596B">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0A5F4FE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0589890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085A4376">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51.36</w:t>
            </w:r>
          </w:p>
          <w:p w14:paraId="09DAB3A7">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±5.87</w:t>
            </w:r>
            <w:r>
              <w:rPr>
                <w:rFonts w:ascii="Times New Roman" w:hAnsi="Times New Roman" w:eastAsia="Times New Roman" w:cs="Times New Roman"/>
                <w:b/>
                <w:bCs/>
                <w:color w:val="FF0000"/>
                <w:sz w:val="20"/>
                <w:szCs w:val="20"/>
                <w:vertAlign w:val="superscript"/>
              </w:rPr>
              <w:t>h</w:t>
            </w:r>
          </w:p>
        </w:tc>
      </w:tr>
      <w:tr w14:paraId="6D15B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1269B47">
            <w:pPr>
              <w:spacing w:after="0" w:line="240" w:lineRule="auto"/>
              <w:jc w:val="center"/>
              <w:rPr>
                <w:rFonts w:ascii="Times New Roman" w:hAnsi="Times New Roman" w:eastAsia="Times New Roman" w:cs="Times New Roman"/>
                <w:b/>
                <w:bCs/>
                <w:sz w:val="24"/>
                <w:szCs w:val="24"/>
                <w:lang w:eastAsia="ar-SA" w:bidi="ar-EG"/>
              </w:rPr>
            </w:pPr>
          </w:p>
        </w:tc>
        <w:tc>
          <w:tcPr>
            <w:tcW w:w="871" w:type="dxa"/>
            <w:tcBorders>
              <w:right w:val="single" w:color="auto" w:sz="12" w:space="0"/>
            </w:tcBorders>
            <w:vAlign w:val="center"/>
          </w:tcPr>
          <w:p w14:paraId="511FCAE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0.375</w:t>
            </w:r>
          </w:p>
        </w:tc>
        <w:tc>
          <w:tcPr>
            <w:tcW w:w="870" w:type="dxa"/>
            <w:tcBorders>
              <w:left w:val="single" w:color="auto" w:sz="12" w:space="0"/>
            </w:tcBorders>
            <w:vAlign w:val="center"/>
          </w:tcPr>
          <w:p w14:paraId="4BB8177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aE</w:t>
            </w:r>
          </w:p>
        </w:tc>
        <w:tc>
          <w:tcPr>
            <w:tcW w:w="872" w:type="dxa"/>
            <w:vAlign w:val="center"/>
          </w:tcPr>
          <w:p w14:paraId="706A4E95">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kD</w:t>
            </w:r>
          </w:p>
        </w:tc>
        <w:tc>
          <w:tcPr>
            <w:tcW w:w="878" w:type="dxa"/>
            <w:vAlign w:val="center"/>
          </w:tcPr>
          <w:p w14:paraId="3955961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14.08</w:t>
            </w:r>
          </w:p>
          <w:p w14:paraId="236C338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±1.24</w:t>
            </w:r>
            <w:r>
              <w:rPr>
                <w:rFonts w:ascii="Times New Roman" w:hAnsi="Times New Roman" w:eastAsia="Times New Roman" w:cs="Times New Roman"/>
                <w:b/>
                <w:bCs/>
                <w:sz w:val="20"/>
                <w:szCs w:val="20"/>
                <w:vertAlign w:val="superscript"/>
              </w:rPr>
              <w:t>mC</w:t>
            </w:r>
          </w:p>
        </w:tc>
        <w:tc>
          <w:tcPr>
            <w:tcW w:w="872" w:type="dxa"/>
            <w:vAlign w:val="center"/>
          </w:tcPr>
          <w:p w14:paraId="09023C0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24.96</w:t>
            </w:r>
          </w:p>
          <w:p w14:paraId="35C4CA6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±1.62</w:t>
            </w:r>
            <w:r>
              <w:rPr>
                <w:rFonts w:ascii="Times New Roman" w:hAnsi="Times New Roman" w:eastAsia="Times New Roman" w:cs="Times New Roman"/>
                <w:b/>
                <w:bCs/>
                <w:sz w:val="20"/>
                <w:szCs w:val="20"/>
                <w:vertAlign w:val="superscript"/>
              </w:rPr>
              <w:t>lB</w:t>
            </w:r>
          </w:p>
        </w:tc>
        <w:tc>
          <w:tcPr>
            <w:tcW w:w="872" w:type="dxa"/>
            <w:vAlign w:val="center"/>
          </w:tcPr>
          <w:p w14:paraId="5995BBA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604D5853">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vAlign w:val="center"/>
          </w:tcPr>
          <w:p w14:paraId="124253C1">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1593C04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3" w:type="dxa"/>
            <w:tcBorders>
              <w:right w:val="single" w:color="auto" w:sz="12" w:space="0"/>
            </w:tcBorders>
            <w:vAlign w:val="center"/>
          </w:tcPr>
          <w:p w14:paraId="6044EB6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100</w:t>
            </w:r>
          </w:p>
          <w:p w14:paraId="4F07359E">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±0.00</w:t>
            </w:r>
            <w:r>
              <w:rPr>
                <w:rFonts w:ascii="Times New Roman" w:hAnsi="Times New Roman" w:eastAsia="Times New Roman" w:cs="Times New Roman"/>
                <w:b/>
                <w:bCs/>
                <w:sz w:val="20"/>
                <w:szCs w:val="20"/>
                <w:vertAlign w:val="superscript"/>
              </w:rPr>
              <w:t>aA</w:t>
            </w:r>
          </w:p>
        </w:tc>
        <w:tc>
          <w:tcPr>
            <w:tcW w:w="872" w:type="dxa"/>
            <w:tcBorders>
              <w:left w:val="single" w:color="auto" w:sz="12" w:space="0"/>
            </w:tcBorders>
            <w:vAlign w:val="bottom"/>
          </w:tcPr>
          <w:p w14:paraId="62A0C384">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48.43</w:t>
            </w:r>
          </w:p>
          <w:p w14:paraId="4C7985FB">
            <w:pPr>
              <w:spacing w:after="0" w:line="240" w:lineRule="auto"/>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±6.12</w:t>
            </w:r>
            <w:r>
              <w:rPr>
                <w:rFonts w:ascii="Times New Roman" w:hAnsi="Times New Roman" w:eastAsia="Times New Roman" w:cs="Times New Roman"/>
                <w:b/>
                <w:bCs/>
                <w:color w:val="FF0000"/>
                <w:sz w:val="20"/>
                <w:szCs w:val="20"/>
                <w:vertAlign w:val="superscript"/>
              </w:rPr>
              <w:t>i</w:t>
            </w:r>
          </w:p>
        </w:tc>
      </w:tr>
      <w:tr w14:paraId="145A2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1" w:type="dxa"/>
            <w:gridSpan w:val="2"/>
            <w:tcBorders>
              <w:right w:val="single" w:color="auto" w:sz="12" w:space="0"/>
            </w:tcBorders>
            <w:vAlign w:val="center"/>
          </w:tcPr>
          <w:p w14:paraId="76401004">
            <w:pPr>
              <w:spacing w:after="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0"/>
                <w:szCs w:val="20"/>
                <w:lang w:eastAsia="ar-SA" w:bidi="ar-EG"/>
              </w:rPr>
              <w:t>Sterile deionized water (DIW)</w:t>
            </w:r>
          </w:p>
        </w:tc>
        <w:tc>
          <w:tcPr>
            <w:tcW w:w="870" w:type="dxa"/>
            <w:tcBorders>
              <w:left w:val="single" w:color="auto" w:sz="12" w:space="0"/>
            </w:tcBorders>
            <w:vAlign w:val="center"/>
          </w:tcPr>
          <w:p w14:paraId="12B3535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aA</w:t>
            </w:r>
          </w:p>
        </w:tc>
        <w:tc>
          <w:tcPr>
            <w:tcW w:w="872" w:type="dxa"/>
            <w:vAlign w:val="center"/>
          </w:tcPr>
          <w:p w14:paraId="04908A5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kA</w:t>
            </w:r>
          </w:p>
        </w:tc>
        <w:tc>
          <w:tcPr>
            <w:tcW w:w="878" w:type="dxa"/>
            <w:vAlign w:val="center"/>
          </w:tcPr>
          <w:p w14:paraId="3817263C">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oA</w:t>
            </w:r>
          </w:p>
        </w:tc>
        <w:tc>
          <w:tcPr>
            <w:tcW w:w="872" w:type="dxa"/>
            <w:vAlign w:val="center"/>
          </w:tcPr>
          <w:p w14:paraId="6B22995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nA</w:t>
            </w:r>
          </w:p>
        </w:tc>
        <w:tc>
          <w:tcPr>
            <w:tcW w:w="872" w:type="dxa"/>
            <w:vAlign w:val="center"/>
          </w:tcPr>
          <w:p w14:paraId="2961C51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3" w:type="dxa"/>
            <w:vAlign w:val="center"/>
          </w:tcPr>
          <w:p w14:paraId="26D31ACA">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3" w:type="dxa"/>
            <w:tcBorders>
              <w:right w:val="single" w:color="auto" w:sz="12" w:space="0"/>
            </w:tcBorders>
            <w:vAlign w:val="center"/>
          </w:tcPr>
          <w:p w14:paraId="0BB76E89">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2" w:type="dxa"/>
            <w:tcBorders>
              <w:left w:val="single" w:color="auto" w:sz="12" w:space="0"/>
            </w:tcBorders>
            <w:vAlign w:val="center"/>
          </w:tcPr>
          <w:p w14:paraId="17182542">
            <w:pPr>
              <w:spacing w:after="0" w:line="240" w:lineRule="auto"/>
              <w:jc w:val="cente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0±0</w:t>
            </w:r>
            <w:r>
              <w:rPr>
                <w:rFonts w:ascii="Times New Roman" w:hAnsi="Times New Roman" w:eastAsia="Times New Roman" w:cs="Times New Roman"/>
                <w:b/>
                <w:bCs/>
                <w:color w:val="FF0000"/>
                <w:sz w:val="20"/>
                <w:szCs w:val="20"/>
                <w:vertAlign w:val="superscript"/>
              </w:rPr>
              <w:t>j</w:t>
            </w:r>
          </w:p>
        </w:tc>
      </w:tr>
      <w:tr w14:paraId="6F535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1" w:type="dxa"/>
            <w:gridSpan w:val="2"/>
            <w:tcBorders>
              <w:bottom w:val="single" w:color="auto" w:sz="12" w:space="0"/>
              <w:right w:val="single" w:color="auto" w:sz="12" w:space="0"/>
            </w:tcBorders>
            <w:vAlign w:val="center"/>
          </w:tcPr>
          <w:p w14:paraId="612D8BD5">
            <w:pPr>
              <w:spacing w:before="120" w:after="120" w:line="240" w:lineRule="auto"/>
              <w:jc w:val="center"/>
              <w:rPr>
                <w:rFonts w:ascii="Times New Roman" w:hAnsi="Times New Roman" w:eastAsia="Times New Roman" w:cs="Times New Roman"/>
                <w:b/>
                <w:bCs/>
                <w:sz w:val="24"/>
                <w:szCs w:val="24"/>
                <w:lang w:eastAsia="ar-SA" w:bidi="ar-EG"/>
              </w:rPr>
            </w:pPr>
            <w:r>
              <w:rPr>
                <w:rFonts w:ascii="Times New Roman" w:hAnsi="Times New Roman" w:eastAsia="Times New Roman" w:cs="Times New Roman"/>
                <w:b/>
                <w:bCs/>
                <w:sz w:val="20"/>
                <w:szCs w:val="20"/>
                <w:lang w:eastAsia="ar-SA" w:bidi="ar-EG"/>
              </w:rPr>
              <w:t>DMSO</w:t>
            </w:r>
          </w:p>
        </w:tc>
        <w:tc>
          <w:tcPr>
            <w:tcW w:w="870" w:type="dxa"/>
            <w:tcBorders>
              <w:left w:val="single" w:color="auto" w:sz="12" w:space="0"/>
              <w:bottom w:val="single" w:color="auto" w:sz="12" w:space="0"/>
            </w:tcBorders>
            <w:vAlign w:val="center"/>
          </w:tcPr>
          <w:p w14:paraId="2B5A496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aA</w:t>
            </w:r>
          </w:p>
        </w:tc>
        <w:tc>
          <w:tcPr>
            <w:tcW w:w="872" w:type="dxa"/>
            <w:tcBorders>
              <w:bottom w:val="single" w:color="auto" w:sz="12" w:space="0"/>
            </w:tcBorders>
            <w:vAlign w:val="center"/>
          </w:tcPr>
          <w:p w14:paraId="41BE4118">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kA</w:t>
            </w:r>
          </w:p>
        </w:tc>
        <w:tc>
          <w:tcPr>
            <w:tcW w:w="878" w:type="dxa"/>
            <w:tcBorders>
              <w:bottom w:val="single" w:color="auto" w:sz="12" w:space="0"/>
            </w:tcBorders>
            <w:vAlign w:val="center"/>
          </w:tcPr>
          <w:p w14:paraId="3AD3FF4D">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oA</w:t>
            </w:r>
          </w:p>
        </w:tc>
        <w:tc>
          <w:tcPr>
            <w:tcW w:w="872" w:type="dxa"/>
            <w:tcBorders>
              <w:bottom w:val="single" w:color="auto" w:sz="12" w:space="0"/>
            </w:tcBorders>
            <w:vAlign w:val="center"/>
          </w:tcPr>
          <w:p w14:paraId="71F5EEA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nA</w:t>
            </w:r>
          </w:p>
        </w:tc>
        <w:tc>
          <w:tcPr>
            <w:tcW w:w="872" w:type="dxa"/>
            <w:tcBorders>
              <w:bottom w:val="single" w:color="auto" w:sz="12" w:space="0"/>
            </w:tcBorders>
            <w:vAlign w:val="center"/>
          </w:tcPr>
          <w:p w14:paraId="02D294E2">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3" w:type="dxa"/>
            <w:tcBorders>
              <w:bottom w:val="single" w:color="auto" w:sz="12" w:space="0"/>
            </w:tcBorders>
            <w:vAlign w:val="center"/>
          </w:tcPr>
          <w:p w14:paraId="63A64564">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3" w:type="dxa"/>
            <w:tcBorders>
              <w:bottom w:val="single" w:color="auto" w:sz="12" w:space="0"/>
              <w:right w:val="single" w:color="auto" w:sz="12" w:space="0"/>
            </w:tcBorders>
            <w:vAlign w:val="center"/>
          </w:tcPr>
          <w:p w14:paraId="7CC0FC5F">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0±0</w:t>
            </w:r>
            <w:r>
              <w:rPr>
                <w:rFonts w:ascii="Times New Roman" w:hAnsi="Times New Roman" w:eastAsia="Times New Roman" w:cs="Times New Roman"/>
                <w:b/>
                <w:bCs/>
                <w:sz w:val="20"/>
                <w:szCs w:val="20"/>
                <w:vertAlign w:val="superscript"/>
              </w:rPr>
              <w:t>bA</w:t>
            </w:r>
          </w:p>
        </w:tc>
        <w:tc>
          <w:tcPr>
            <w:tcW w:w="872" w:type="dxa"/>
            <w:tcBorders>
              <w:left w:val="single" w:color="auto" w:sz="12" w:space="0"/>
              <w:bottom w:val="single" w:color="auto" w:sz="12" w:space="0"/>
            </w:tcBorders>
            <w:vAlign w:val="center"/>
          </w:tcPr>
          <w:p w14:paraId="129EC0B3">
            <w:pPr>
              <w:spacing w:after="0" w:line="240" w:lineRule="auto"/>
              <w:jc w:val="cente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FF0000"/>
                <w:sz w:val="20"/>
                <w:szCs w:val="20"/>
              </w:rPr>
              <w:t>0±0j</w:t>
            </w:r>
          </w:p>
        </w:tc>
      </w:tr>
      <w:tr w14:paraId="442B8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41" w:type="dxa"/>
            <w:gridSpan w:val="2"/>
            <w:tcBorders>
              <w:top w:val="single" w:color="auto" w:sz="12" w:space="0"/>
              <w:bottom w:val="single" w:color="auto" w:sz="12" w:space="0"/>
              <w:right w:val="single" w:color="auto" w:sz="12" w:space="0"/>
            </w:tcBorders>
            <w:vAlign w:val="center"/>
          </w:tcPr>
          <w:p w14:paraId="6AC9FD41">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Mean</w:t>
            </w:r>
          </w:p>
        </w:tc>
        <w:tc>
          <w:tcPr>
            <w:tcW w:w="870" w:type="dxa"/>
            <w:tcBorders>
              <w:top w:val="single" w:color="auto" w:sz="12" w:space="0"/>
              <w:left w:val="single" w:color="auto" w:sz="12" w:space="0"/>
              <w:bottom w:val="single" w:color="auto" w:sz="12" w:space="0"/>
            </w:tcBorders>
            <w:vAlign w:val="center"/>
          </w:tcPr>
          <w:p w14:paraId="6205997A">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0±0</w:t>
            </w:r>
            <w:r>
              <w:rPr>
                <w:rFonts w:ascii="Times New Roman" w:hAnsi="Times New Roman" w:eastAsia="Times New Roman" w:cs="Times New Roman"/>
                <w:b/>
                <w:bCs/>
                <w:color w:val="FF0000"/>
                <w:sz w:val="20"/>
                <w:szCs w:val="20"/>
                <w:vertAlign w:val="superscript"/>
                <w:lang w:eastAsia="ar-SA" w:bidi="ar-EG"/>
              </w:rPr>
              <w:t>E</w:t>
            </w:r>
          </w:p>
        </w:tc>
        <w:tc>
          <w:tcPr>
            <w:tcW w:w="872" w:type="dxa"/>
            <w:tcBorders>
              <w:top w:val="single" w:color="auto" w:sz="12" w:space="0"/>
              <w:bottom w:val="single" w:color="auto" w:sz="12" w:space="0"/>
            </w:tcBorders>
            <w:vAlign w:val="center"/>
          </w:tcPr>
          <w:p w14:paraId="0BDDC8B2">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21.61</w:t>
            </w:r>
          </w:p>
          <w:p w14:paraId="5669134E">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±1.85</w:t>
            </w:r>
            <w:r>
              <w:rPr>
                <w:rFonts w:ascii="Times New Roman" w:hAnsi="Times New Roman" w:eastAsia="Times New Roman" w:cs="Times New Roman"/>
                <w:b/>
                <w:bCs/>
                <w:color w:val="FF0000"/>
                <w:sz w:val="20"/>
                <w:szCs w:val="20"/>
                <w:vertAlign w:val="superscript"/>
                <w:lang w:eastAsia="ar-SA" w:bidi="ar-EG"/>
              </w:rPr>
              <w:t>D</w:t>
            </w:r>
          </w:p>
        </w:tc>
        <w:tc>
          <w:tcPr>
            <w:tcW w:w="878" w:type="dxa"/>
            <w:tcBorders>
              <w:top w:val="single" w:color="auto" w:sz="12" w:space="0"/>
              <w:bottom w:val="single" w:color="auto" w:sz="12" w:space="0"/>
            </w:tcBorders>
            <w:vAlign w:val="center"/>
          </w:tcPr>
          <w:p w14:paraId="18166B7C">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34.35</w:t>
            </w:r>
          </w:p>
          <w:p w14:paraId="2F2626DA">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±2.46</w:t>
            </w:r>
            <w:r>
              <w:rPr>
                <w:rFonts w:ascii="Times New Roman" w:hAnsi="Times New Roman" w:eastAsia="Times New Roman" w:cs="Times New Roman"/>
                <w:b/>
                <w:bCs/>
                <w:color w:val="FF0000"/>
                <w:sz w:val="20"/>
                <w:szCs w:val="20"/>
                <w:vertAlign w:val="superscript"/>
                <w:lang w:eastAsia="ar-SA" w:bidi="ar-EG"/>
              </w:rPr>
              <w:t>C</w:t>
            </w:r>
          </w:p>
        </w:tc>
        <w:tc>
          <w:tcPr>
            <w:tcW w:w="872" w:type="dxa"/>
            <w:tcBorders>
              <w:top w:val="single" w:color="auto" w:sz="12" w:space="0"/>
              <w:bottom w:val="single" w:color="auto" w:sz="12" w:space="0"/>
            </w:tcBorders>
            <w:vAlign w:val="center"/>
          </w:tcPr>
          <w:p w14:paraId="65AD3283">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46.60</w:t>
            </w:r>
          </w:p>
          <w:p w14:paraId="4077CA12">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±2.72</w:t>
            </w:r>
            <w:r>
              <w:rPr>
                <w:rFonts w:ascii="Times New Roman" w:hAnsi="Times New Roman" w:eastAsia="Times New Roman" w:cs="Times New Roman"/>
                <w:b/>
                <w:bCs/>
                <w:color w:val="FF0000"/>
                <w:sz w:val="20"/>
                <w:szCs w:val="20"/>
                <w:vertAlign w:val="superscript"/>
                <w:lang w:eastAsia="ar-SA" w:bidi="ar-EG"/>
              </w:rPr>
              <w:t>B</w:t>
            </w:r>
          </w:p>
        </w:tc>
        <w:tc>
          <w:tcPr>
            <w:tcW w:w="872" w:type="dxa"/>
            <w:tcBorders>
              <w:top w:val="single" w:color="auto" w:sz="12" w:space="0"/>
              <w:bottom w:val="single" w:color="auto" w:sz="12" w:space="0"/>
            </w:tcBorders>
            <w:vAlign w:val="center"/>
          </w:tcPr>
          <w:p w14:paraId="4E8FDF64">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0079EAC8">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873" w:type="dxa"/>
            <w:tcBorders>
              <w:top w:val="single" w:color="auto" w:sz="12" w:space="0"/>
              <w:bottom w:val="single" w:color="auto" w:sz="12" w:space="0"/>
            </w:tcBorders>
            <w:vAlign w:val="center"/>
          </w:tcPr>
          <w:p w14:paraId="603099E6">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438D02F1">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873" w:type="dxa"/>
            <w:tcBorders>
              <w:top w:val="single" w:color="auto" w:sz="12" w:space="0"/>
              <w:bottom w:val="single" w:color="auto" w:sz="12" w:space="0"/>
              <w:right w:val="single" w:color="auto" w:sz="12" w:space="0"/>
            </w:tcBorders>
            <w:vAlign w:val="center"/>
          </w:tcPr>
          <w:p w14:paraId="13B6BC8F">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90.00</w:t>
            </w:r>
          </w:p>
          <w:p w14:paraId="646C67BA">
            <w:pPr>
              <w:spacing w:after="0" w:line="240" w:lineRule="auto"/>
              <w:jc w:val="center"/>
              <w:rPr>
                <w:rFonts w:ascii="Times New Roman" w:hAnsi="Times New Roman" w:eastAsia="Times New Roman" w:cs="Times New Roman"/>
                <w:b/>
                <w:bCs/>
                <w:color w:val="FF0000"/>
                <w:sz w:val="20"/>
                <w:szCs w:val="20"/>
                <w:lang w:eastAsia="ar-SA" w:bidi="ar-EG"/>
              </w:rPr>
            </w:pPr>
            <w:r>
              <w:rPr>
                <w:rFonts w:ascii="Times New Roman" w:hAnsi="Times New Roman" w:eastAsia="Times New Roman" w:cs="Times New Roman"/>
                <w:b/>
                <w:bCs/>
                <w:color w:val="FF0000"/>
                <w:sz w:val="20"/>
                <w:szCs w:val="20"/>
                <w:lang w:eastAsia="ar-SA" w:bidi="ar-EG"/>
              </w:rPr>
              <w:t>±2.38</w:t>
            </w:r>
            <w:r>
              <w:rPr>
                <w:rFonts w:ascii="Times New Roman" w:hAnsi="Times New Roman" w:eastAsia="Times New Roman" w:cs="Times New Roman"/>
                <w:b/>
                <w:bCs/>
                <w:color w:val="FF0000"/>
                <w:sz w:val="20"/>
                <w:szCs w:val="20"/>
                <w:vertAlign w:val="superscript"/>
                <w:lang w:eastAsia="ar-SA" w:bidi="ar-EG"/>
              </w:rPr>
              <w:t>A</w:t>
            </w:r>
          </w:p>
        </w:tc>
        <w:tc>
          <w:tcPr>
            <w:tcW w:w="872" w:type="dxa"/>
            <w:tcBorders>
              <w:top w:val="single" w:color="auto" w:sz="12" w:space="0"/>
              <w:left w:val="single" w:color="auto" w:sz="12" w:space="0"/>
              <w:bottom w:val="single" w:color="auto" w:sz="12" w:space="0"/>
            </w:tcBorders>
            <w:vAlign w:val="center"/>
          </w:tcPr>
          <w:p w14:paraId="2DD44A1A">
            <w:pPr>
              <w:spacing w:after="0" w:line="240" w:lineRule="auto"/>
              <w:jc w:val="center"/>
              <w:rPr>
                <w:rFonts w:ascii="Times New Roman" w:hAnsi="Times New Roman" w:eastAsia="Times New Roman" w:cs="Times New Roman"/>
                <w:b/>
                <w:bCs/>
                <w:color w:val="FF0000"/>
                <w:sz w:val="20"/>
                <w:szCs w:val="20"/>
                <w:lang w:eastAsia="ar-SA" w:bidi="ar-EG"/>
              </w:rPr>
            </w:pPr>
          </w:p>
        </w:tc>
      </w:tr>
    </w:tbl>
    <w:p w14:paraId="53F7B751">
      <w:pPr>
        <w:spacing w:after="0" w:line="240" w:lineRule="auto"/>
        <w:rPr>
          <w:rFonts w:ascii="Times New Roman" w:hAnsi="Times New Roman" w:eastAsia="Times New Roman" w:cs="Times New Roman"/>
          <w:b/>
          <w:bCs/>
          <w:sz w:val="24"/>
          <w:szCs w:val="24"/>
          <w:lang w:eastAsia="ar-SA" w:bidi="ar-EG"/>
        </w:rPr>
      </w:pPr>
    </w:p>
    <w:p w14:paraId="61408FA4">
      <w:pPr>
        <w:spacing w:after="0" w:line="240" w:lineRule="auto"/>
        <w:ind w:left="851" w:hanging="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b &amp; c: There is no significant difference (P&gt;0.05) between any two means, within the same column </w:t>
      </w:r>
      <w:r>
        <w:rPr>
          <w:rFonts w:ascii="Times New Roman" w:hAnsi="Times New Roman" w:eastAsia="Times New Roman" w:cs="Times New Roman"/>
          <w:sz w:val="24"/>
          <w:szCs w:val="24"/>
        </w:rPr>
        <w:t>have the same superscript letter</w:t>
      </w:r>
      <w:r>
        <w:rPr>
          <w:rFonts w:ascii="Times New Roman" w:hAnsi="Times New Roman" w:eastAsia="Times New Roman" w:cs="Times New Roman"/>
          <w:color w:val="000000"/>
          <w:sz w:val="24"/>
          <w:szCs w:val="24"/>
        </w:rPr>
        <w:t>.</w:t>
      </w:r>
    </w:p>
    <w:p w14:paraId="04D37207">
      <w:pPr>
        <w:spacing w:after="0" w:line="240" w:lineRule="auto"/>
        <w:ind w:left="851" w:hanging="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B &amp; C: There is no significant difference (P&gt;0.05) between any two means, within the same row </w:t>
      </w:r>
      <w:r>
        <w:rPr>
          <w:rFonts w:ascii="Times New Roman" w:hAnsi="Times New Roman" w:eastAsia="Times New Roman" w:cs="Times New Roman"/>
          <w:sz w:val="24"/>
          <w:szCs w:val="24"/>
        </w:rPr>
        <w:t>have the same superscript letter</w:t>
      </w:r>
      <w:r>
        <w:rPr>
          <w:rFonts w:ascii="Times New Roman" w:hAnsi="Times New Roman" w:eastAsia="Times New Roman" w:cs="Times New Roman"/>
          <w:color w:val="000000"/>
          <w:sz w:val="24"/>
          <w:szCs w:val="24"/>
        </w:rPr>
        <w:t>.</w:t>
      </w:r>
    </w:p>
    <w:p w14:paraId="3ECA3C27">
      <w:pPr>
        <w:spacing w:after="0" w:line="240" w:lineRule="auto"/>
        <w:rPr>
          <w:rFonts w:ascii="Times New Roman" w:hAnsi="Times New Roman" w:eastAsia="Times New Roman" w:cs="Times New Roman"/>
          <w:sz w:val="24"/>
          <w:szCs w:val="24"/>
        </w:rPr>
      </w:pPr>
    </w:p>
    <w:tbl>
      <w:tblPr>
        <w:tblStyle w:val="7"/>
        <w:tblW w:w="1920" w:type="dxa"/>
        <w:tblInd w:w="93" w:type="dxa"/>
        <w:tblLayout w:type="autofit"/>
        <w:tblCellMar>
          <w:top w:w="0" w:type="dxa"/>
          <w:left w:w="108" w:type="dxa"/>
          <w:bottom w:w="0" w:type="dxa"/>
          <w:right w:w="108" w:type="dxa"/>
        </w:tblCellMar>
      </w:tblPr>
      <w:tblGrid>
        <w:gridCol w:w="963"/>
        <w:gridCol w:w="960"/>
      </w:tblGrid>
      <w:tr w14:paraId="7D36C6D7">
        <w:tblPrEx>
          <w:tblCellMar>
            <w:top w:w="0" w:type="dxa"/>
            <w:left w:w="108" w:type="dxa"/>
            <w:bottom w:w="0" w:type="dxa"/>
            <w:right w:w="108" w:type="dxa"/>
          </w:tblCellMar>
        </w:tblPrEx>
        <w:trPr>
          <w:trHeight w:val="255" w:hRule="atLeast"/>
        </w:trPr>
        <w:tc>
          <w:tcPr>
            <w:tcW w:w="960" w:type="dxa"/>
            <w:tcBorders>
              <w:top w:val="nil"/>
              <w:left w:val="nil"/>
              <w:bottom w:val="nil"/>
              <w:right w:val="nil"/>
            </w:tcBorders>
            <w:shd w:val="clear" w:color="auto" w:fill="auto"/>
            <w:noWrap/>
            <w:vAlign w:val="bottom"/>
          </w:tcPr>
          <w:p w14:paraId="6F72743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LSDC</w:t>
            </w:r>
          </w:p>
        </w:tc>
        <w:tc>
          <w:tcPr>
            <w:tcW w:w="960" w:type="dxa"/>
            <w:tcBorders>
              <w:top w:val="nil"/>
              <w:left w:val="nil"/>
              <w:bottom w:val="nil"/>
              <w:right w:val="nil"/>
            </w:tcBorders>
            <w:shd w:val="clear" w:color="auto" w:fill="auto"/>
            <w:noWrap/>
            <w:vAlign w:val="bottom"/>
          </w:tcPr>
          <w:p w14:paraId="14E0555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1.49</w:t>
            </w:r>
          </w:p>
        </w:tc>
      </w:tr>
      <w:tr w14:paraId="3D382851">
        <w:tblPrEx>
          <w:tblCellMar>
            <w:top w:w="0" w:type="dxa"/>
            <w:left w:w="108" w:type="dxa"/>
            <w:bottom w:w="0" w:type="dxa"/>
            <w:right w:w="108" w:type="dxa"/>
          </w:tblCellMar>
        </w:tblPrEx>
        <w:trPr>
          <w:trHeight w:val="255" w:hRule="atLeast"/>
        </w:trPr>
        <w:tc>
          <w:tcPr>
            <w:tcW w:w="960" w:type="dxa"/>
            <w:tcBorders>
              <w:top w:val="nil"/>
              <w:left w:val="nil"/>
              <w:bottom w:val="nil"/>
              <w:right w:val="nil"/>
            </w:tcBorders>
            <w:shd w:val="clear" w:color="auto" w:fill="auto"/>
            <w:noWrap/>
            <w:vAlign w:val="bottom"/>
          </w:tcPr>
          <w:p w14:paraId="397716F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LSDP</w:t>
            </w:r>
          </w:p>
        </w:tc>
        <w:tc>
          <w:tcPr>
            <w:tcW w:w="960" w:type="dxa"/>
            <w:tcBorders>
              <w:top w:val="nil"/>
              <w:left w:val="nil"/>
              <w:bottom w:val="nil"/>
              <w:right w:val="nil"/>
            </w:tcBorders>
            <w:shd w:val="clear" w:color="auto" w:fill="auto"/>
            <w:noWrap/>
            <w:vAlign w:val="bottom"/>
          </w:tcPr>
          <w:p w14:paraId="28B830E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0.88</w:t>
            </w:r>
          </w:p>
        </w:tc>
      </w:tr>
      <w:tr w14:paraId="2F9ADC53">
        <w:tblPrEx>
          <w:tblCellMar>
            <w:top w:w="0" w:type="dxa"/>
            <w:left w:w="108" w:type="dxa"/>
            <w:bottom w:w="0" w:type="dxa"/>
            <w:right w:w="108" w:type="dxa"/>
          </w:tblCellMar>
        </w:tblPrEx>
        <w:trPr>
          <w:trHeight w:val="480" w:hRule="atLeast"/>
        </w:trPr>
        <w:tc>
          <w:tcPr>
            <w:tcW w:w="960" w:type="dxa"/>
            <w:tcBorders>
              <w:top w:val="nil"/>
              <w:left w:val="nil"/>
              <w:bottom w:val="nil"/>
              <w:right w:val="nil"/>
            </w:tcBorders>
            <w:shd w:val="clear" w:color="auto" w:fill="auto"/>
            <w:noWrap/>
            <w:vAlign w:val="bottom"/>
          </w:tcPr>
          <w:p w14:paraId="2E6F799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LSDCP</w:t>
            </w:r>
          </w:p>
        </w:tc>
        <w:tc>
          <w:tcPr>
            <w:tcW w:w="960" w:type="dxa"/>
            <w:tcBorders>
              <w:top w:val="nil"/>
              <w:left w:val="nil"/>
              <w:bottom w:val="nil"/>
              <w:right w:val="nil"/>
            </w:tcBorders>
            <w:shd w:val="clear" w:color="auto" w:fill="auto"/>
            <w:noWrap/>
            <w:vAlign w:val="bottom"/>
          </w:tcPr>
          <w:p w14:paraId="0597E78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3.93</w:t>
            </w:r>
          </w:p>
        </w:tc>
      </w:tr>
    </w:tbl>
    <w:p w14:paraId="6303164B">
      <w:pPr>
        <w:spacing w:after="0" w:line="240" w:lineRule="auto"/>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 xml:space="preserve">Table (  3  ): </w:t>
      </w:r>
      <w:r>
        <w:rPr>
          <w:rFonts w:ascii="Times New Roman" w:hAnsi="Times New Roman" w:eastAsia="Times New Roman" w:cs="Times New Roman"/>
          <w:b/>
          <w:bCs/>
          <w:sz w:val="24"/>
          <w:szCs w:val="24"/>
          <w:lang w:eastAsia="ar-SA" w:bidi="ar-EG"/>
        </w:rPr>
        <w:t>Impact of furfural</w:t>
      </w:r>
      <w:r>
        <w:rPr>
          <w:rFonts w:ascii="Times New Roman" w:hAnsi="Times New Roman" w:eastAsia="Times New Roman" w:cs="Times New Roman"/>
          <w:b/>
          <w:bCs/>
          <w:sz w:val="24"/>
          <w:szCs w:val="24"/>
          <w:u w:val="single"/>
          <w:lang w:eastAsia="ar-SA" w:bidi="ar-EG"/>
        </w:rPr>
        <w:t xml:space="preserve"> </w:t>
      </w:r>
      <w:r>
        <w:rPr>
          <w:rFonts w:ascii="Times New Roman" w:hAnsi="Times New Roman" w:eastAsia="Times New Roman" w:cs="Times New Roman"/>
          <w:b/>
          <w:bCs/>
          <w:sz w:val="24"/>
          <w:szCs w:val="24"/>
          <w:lang w:eastAsia="ar-SA" w:bidi="ar-EG"/>
        </w:rPr>
        <w:t xml:space="preserve">derivatives </w:t>
      </w:r>
      <w:r>
        <w:rPr>
          <w:rFonts w:ascii="Times New Roman" w:hAnsi="Times New Roman" w:eastAsia="Times New Roman" w:cs="Times New Roman"/>
          <w:b/>
          <w:bCs/>
          <w:sz w:val="24"/>
          <w:szCs w:val="24"/>
          <w:lang w:bidi="ar-EG"/>
        </w:rPr>
        <w:t xml:space="preserve">at concentration 0.375% for all treatment </w:t>
      </w:r>
      <w:r>
        <w:rPr>
          <w:rFonts w:ascii="Times New Roman" w:hAnsi="Times New Roman" w:eastAsia="Times New Roman" w:cs="Times New Roman"/>
          <w:b/>
          <w:bCs/>
          <w:sz w:val="24"/>
          <w:szCs w:val="24"/>
          <w:lang w:eastAsia="ar-SA" w:bidi="ar-EG"/>
        </w:rPr>
        <w:t xml:space="preserve">on Juveniles mortality% of </w:t>
      </w:r>
      <w:r>
        <w:rPr>
          <w:rFonts w:ascii="Times New Roman" w:hAnsi="Times New Roman" w:eastAsia="Times New Roman" w:cs="Times New Roman"/>
          <w:b/>
          <w:bCs/>
          <w:i/>
          <w:iCs/>
          <w:sz w:val="24"/>
          <w:szCs w:val="24"/>
          <w:lang w:eastAsia="ar-SA" w:bidi="ar-EG"/>
        </w:rPr>
        <w:t xml:space="preserve">Meloidogyne incognita and </w:t>
      </w:r>
      <w:r>
        <w:rPr>
          <w:rFonts w:ascii="Times New Roman" w:hAnsi="Times New Roman" w:eastAsia="Times New Roman" w:cs="Times New Roman"/>
          <w:b/>
          <w:bCs/>
          <w:i/>
          <w:iCs/>
          <w:kern w:val="2"/>
          <w:sz w:val="24"/>
          <w:szCs w:val="24"/>
          <w:lang w:val="en-GB" w:eastAsia="ar-SA"/>
        </w:rPr>
        <w:t>Tylenchulus semipenetran</w:t>
      </w:r>
      <w:r>
        <w:rPr>
          <w:rFonts w:ascii="Times New Roman" w:hAnsi="Times New Roman" w:eastAsia="Times New Roman" w:cs="Times New Roman"/>
          <w:b/>
          <w:bCs/>
          <w:sz w:val="24"/>
          <w:szCs w:val="24"/>
          <w:lang w:val="en-GB" w:eastAsia="ar-SA" w:bidi="ar-EG"/>
        </w:rPr>
        <w:t>s</w:t>
      </w:r>
      <w:r>
        <w:rPr>
          <w:rFonts w:ascii="Times New Roman" w:hAnsi="Times New Roman" w:eastAsia="Times New Roman" w:cs="Times New Roman"/>
          <w:b/>
          <w:bCs/>
          <w:sz w:val="24"/>
          <w:szCs w:val="24"/>
          <w:lang w:eastAsia="ar-SA" w:bidi="ar-EG"/>
        </w:rPr>
        <w:t xml:space="preserve"> </w:t>
      </w:r>
      <w:r>
        <w:rPr>
          <w:rFonts w:ascii="Times New Roman" w:hAnsi="Times New Roman" w:eastAsia="Times New Roman" w:cs="Times New Roman"/>
          <w:b/>
          <w:bCs/>
          <w:sz w:val="24"/>
          <w:szCs w:val="24"/>
          <w:lang w:bidi="ar-EG"/>
        </w:rPr>
        <w:t>(mean±SE).</w:t>
      </w:r>
    </w:p>
    <w:tbl>
      <w:tblPr>
        <w:tblStyle w:val="5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093"/>
        <w:gridCol w:w="667"/>
        <w:gridCol w:w="1251"/>
        <w:gridCol w:w="1251"/>
        <w:gridCol w:w="1244"/>
        <w:gridCol w:w="859"/>
        <w:gridCol w:w="859"/>
        <w:gridCol w:w="859"/>
        <w:gridCol w:w="1161"/>
      </w:tblGrid>
      <w:tr w14:paraId="72A9C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12" w:space="0"/>
              <w:right w:val="single" w:color="auto" w:sz="4" w:space="0"/>
            </w:tcBorders>
            <w:vAlign w:val="center"/>
          </w:tcPr>
          <w:p w14:paraId="087B39A7">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Gene.</w:t>
            </w:r>
          </w:p>
        </w:tc>
        <w:tc>
          <w:tcPr>
            <w:tcW w:w="0" w:type="auto"/>
            <w:vMerge w:val="restart"/>
            <w:tcBorders>
              <w:top w:val="single" w:color="auto" w:sz="12" w:space="0"/>
              <w:left w:val="single" w:color="auto" w:sz="4" w:space="0"/>
              <w:right w:val="single" w:color="auto" w:sz="12" w:space="0"/>
            </w:tcBorders>
            <w:vAlign w:val="center"/>
          </w:tcPr>
          <w:p w14:paraId="7A5F7F8D">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Treatment</w:t>
            </w:r>
          </w:p>
        </w:tc>
        <w:tc>
          <w:tcPr>
            <w:tcW w:w="0" w:type="auto"/>
            <w:gridSpan w:val="7"/>
            <w:tcBorders>
              <w:top w:val="single" w:color="auto" w:sz="12" w:space="0"/>
              <w:left w:val="single" w:color="auto" w:sz="12" w:space="0"/>
              <w:bottom w:val="single" w:color="auto" w:sz="4" w:space="0"/>
              <w:right w:val="single" w:color="auto" w:sz="12" w:space="0"/>
            </w:tcBorders>
            <w:vAlign w:val="center"/>
          </w:tcPr>
          <w:p w14:paraId="3CAD33CB">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Time (hrs.)</w:t>
            </w:r>
          </w:p>
        </w:tc>
        <w:tc>
          <w:tcPr>
            <w:tcW w:w="0" w:type="auto"/>
            <w:vMerge w:val="restart"/>
            <w:tcBorders>
              <w:top w:val="single" w:color="auto" w:sz="12" w:space="0"/>
              <w:left w:val="single" w:color="auto" w:sz="12" w:space="0"/>
            </w:tcBorders>
            <w:vAlign w:val="center"/>
          </w:tcPr>
          <w:p w14:paraId="5BA8B80E">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Mean</w:t>
            </w:r>
          </w:p>
        </w:tc>
      </w:tr>
      <w:tr w14:paraId="197F0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bottom w:val="single" w:color="auto" w:sz="12" w:space="0"/>
              <w:right w:val="single" w:color="auto" w:sz="4" w:space="0"/>
            </w:tcBorders>
            <w:vAlign w:val="center"/>
          </w:tcPr>
          <w:p w14:paraId="76F4969A">
            <w:pPr>
              <w:spacing w:after="0" w:line="240" w:lineRule="auto"/>
              <w:jc w:val="center"/>
              <w:rPr>
                <w:rFonts w:ascii="Times New Roman" w:hAnsi="Times New Roman" w:eastAsia="Times New Roman" w:cs="Times New Roman"/>
                <w:b/>
                <w:bCs/>
                <w:sz w:val="24"/>
                <w:szCs w:val="24"/>
                <w:lang w:bidi="ar-EG"/>
              </w:rPr>
            </w:pPr>
          </w:p>
        </w:tc>
        <w:tc>
          <w:tcPr>
            <w:tcW w:w="0" w:type="auto"/>
            <w:vMerge w:val="continue"/>
            <w:tcBorders>
              <w:left w:val="single" w:color="auto" w:sz="4" w:space="0"/>
              <w:bottom w:val="single" w:color="auto" w:sz="12" w:space="0"/>
              <w:right w:val="single" w:color="auto" w:sz="12" w:space="0"/>
            </w:tcBorders>
            <w:vAlign w:val="center"/>
          </w:tcPr>
          <w:p w14:paraId="2042930D">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12" w:space="0"/>
              <w:bottom w:val="single" w:color="auto" w:sz="12" w:space="0"/>
            </w:tcBorders>
            <w:vAlign w:val="center"/>
          </w:tcPr>
          <w:p w14:paraId="35100C00">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0</w:t>
            </w:r>
          </w:p>
        </w:tc>
        <w:tc>
          <w:tcPr>
            <w:tcW w:w="0" w:type="auto"/>
            <w:tcBorders>
              <w:top w:val="single" w:color="auto" w:sz="4" w:space="0"/>
              <w:bottom w:val="single" w:color="auto" w:sz="12" w:space="0"/>
            </w:tcBorders>
            <w:vAlign w:val="center"/>
          </w:tcPr>
          <w:p w14:paraId="43A93145">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0.5</w:t>
            </w:r>
          </w:p>
        </w:tc>
        <w:tc>
          <w:tcPr>
            <w:tcW w:w="0" w:type="auto"/>
            <w:tcBorders>
              <w:top w:val="single" w:color="auto" w:sz="4" w:space="0"/>
              <w:bottom w:val="single" w:color="auto" w:sz="12" w:space="0"/>
            </w:tcBorders>
            <w:vAlign w:val="center"/>
          </w:tcPr>
          <w:p w14:paraId="4CD3F2AA">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1</w:t>
            </w:r>
          </w:p>
        </w:tc>
        <w:tc>
          <w:tcPr>
            <w:tcW w:w="0" w:type="auto"/>
            <w:tcBorders>
              <w:top w:val="single" w:color="auto" w:sz="4" w:space="0"/>
              <w:bottom w:val="single" w:color="auto" w:sz="12" w:space="0"/>
            </w:tcBorders>
            <w:vAlign w:val="center"/>
          </w:tcPr>
          <w:p w14:paraId="7A115259">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2</w:t>
            </w:r>
          </w:p>
        </w:tc>
        <w:tc>
          <w:tcPr>
            <w:tcW w:w="0" w:type="auto"/>
            <w:tcBorders>
              <w:top w:val="single" w:color="auto" w:sz="4" w:space="0"/>
              <w:bottom w:val="single" w:color="auto" w:sz="12" w:space="0"/>
            </w:tcBorders>
            <w:vAlign w:val="center"/>
          </w:tcPr>
          <w:p w14:paraId="0591246F">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12</w:t>
            </w:r>
          </w:p>
        </w:tc>
        <w:tc>
          <w:tcPr>
            <w:tcW w:w="0" w:type="auto"/>
            <w:tcBorders>
              <w:top w:val="single" w:color="auto" w:sz="4" w:space="0"/>
              <w:bottom w:val="single" w:color="auto" w:sz="12" w:space="0"/>
            </w:tcBorders>
            <w:vAlign w:val="center"/>
          </w:tcPr>
          <w:p w14:paraId="2C2F72CB">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18</w:t>
            </w:r>
          </w:p>
        </w:tc>
        <w:tc>
          <w:tcPr>
            <w:tcW w:w="0" w:type="auto"/>
            <w:tcBorders>
              <w:top w:val="single" w:color="auto" w:sz="4" w:space="0"/>
              <w:bottom w:val="single" w:color="auto" w:sz="12" w:space="0"/>
              <w:right w:val="single" w:color="auto" w:sz="12" w:space="0"/>
            </w:tcBorders>
            <w:vAlign w:val="center"/>
          </w:tcPr>
          <w:p w14:paraId="33539FA0">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24</w:t>
            </w:r>
          </w:p>
        </w:tc>
        <w:tc>
          <w:tcPr>
            <w:tcW w:w="0" w:type="auto"/>
            <w:vMerge w:val="continue"/>
            <w:tcBorders>
              <w:left w:val="single" w:color="auto" w:sz="12" w:space="0"/>
              <w:bottom w:val="single" w:color="auto" w:sz="12" w:space="0"/>
            </w:tcBorders>
            <w:vAlign w:val="center"/>
          </w:tcPr>
          <w:p w14:paraId="2A1F9AB6">
            <w:pPr>
              <w:spacing w:after="0" w:line="240" w:lineRule="auto"/>
              <w:jc w:val="center"/>
              <w:rPr>
                <w:rFonts w:ascii="Times New Roman" w:hAnsi="Times New Roman" w:eastAsia="Times New Roman" w:cs="Times New Roman"/>
                <w:b/>
                <w:bCs/>
                <w:sz w:val="24"/>
                <w:szCs w:val="24"/>
                <w:lang w:bidi="ar-EG"/>
              </w:rPr>
            </w:pPr>
          </w:p>
        </w:tc>
      </w:tr>
      <w:tr w14:paraId="437AE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12" w:space="0"/>
              <w:right w:val="single" w:color="auto" w:sz="4" w:space="0"/>
            </w:tcBorders>
            <w:textDirection w:val="btLr"/>
            <w:vAlign w:val="center"/>
          </w:tcPr>
          <w:p w14:paraId="3A201E57">
            <w:pPr>
              <w:spacing w:after="0" w:line="240" w:lineRule="auto"/>
              <w:ind w:left="113" w:right="113"/>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i/>
                <w:iCs/>
                <w:sz w:val="24"/>
                <w:szCs w:val="24"/>
                <w:lang w:eastAsia="ar-SA" w:bidi="ar-EG"/>
              </w:rPr>
              <w:t>Meloidogyne incognita</w:t>
            </w:r>
          </w:p>
        </w:tc>
        <w:tc>
          <w:tcPr>
            <w:tcW w:w="0" w:type="auto"/>
            <w:tcBorders>
              <w:top w:val="single" w:color="auto" w:sz="12" w:space="0"/>
              <w:left w:val="single" w:color="auto" w:sz="4" w:space="0"/>
              <w:right w:val="single" w:color="auto" w:sz="12" w:space="0"/>
            </w:tcBorders>
            <w:vAlign w:val="center"/>
          </w:tcPr>
          <w:p w14:paraId="7D38D08F">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FM</w:t>
            </w:r>
          </w:p>
        </w:tc>
        <w:tc>
          <w:tcPr>
            <w:tcW w:w="0" w:type="auto"/>
            <w:tcBorders>
              <w:top w:val="single" w:color="auto" w:sz="12" w:space="0"/>
              <w:left w:val="single" w:color="auto" w:sz="12" w:space="0"/>
            </w:tcBorders>
            <w:vAlign w:val="center"/>
          </w:tcPr>
          <w:p w14:paraId="07A5FFCE">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tcBorders>
              <w:top w:val="single" w:color="auto" w:sz="12" w:space="0"/>
            </w:tcBorders>
            <w:vAlign w:val="center"/>
          </w:tcPr>
          <w:p w14:paraId="06532D13">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20.17±2.17</w:t>
            </w:r>
            <w:r>
              <w:rPr>
                <w:rFonts w:ascii="Times New Roman" w:hAnsi="Times New Roman" w:eastAsia="Times New Roman" w:cs="Times New Roman"/>
                <w:b/>
                <w:bCs/>
                <w:color w:val="000000"/>
                <w:sz w:val="24"/>
                <w:szCs w:val="24"/>
                <w:vertAlign w:val="superscript"/>
              </w:rPr>
              <w:t>bC</w:t>
            </w:r>
          </w:p>
        </w:tc>
        <w:tc>
          <w:tcPr>
            <w:tcW w:w="0" w:type="auto"/>
            <w:tcBorders>
              <w:top w:val="single" w:color="auto" w:sz="12" w:space="0"/>
            </w:tcBorders>
            <w:vAlign w:val="center"/>
          </w:tcPr>
          <w:p w14:paraId="3FF4DDF6">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49.96±6.43</w:t>
            </w:r>
            <w:r>
              <w:rPr>
                <w:rFonts w:ascii="Times New Roman" w:hAnsi="Times New Roman" w:eastAsia="Times New Roman" w:cs="Times New Roman"/>
                <w:b/>
                <w:bCs/>
                <w:color w:val="000000"/>
                <w:sz w:val="24"/>
                <w:szCs w:val="24"/>
                <w:vertAlign w:val="superscript"/>
              </w:rPr>
              <w:t>cB</w:t>
            </w:r>
          </w:p>
        </w:tc>
        <w:tc>
          <w:tcPr>
            <w:tcW w:w="0" w:type="auto"/>
            <w:tcBorders>
              <w:top w:val="single" w:color="auto" w:sz="12" w:space="0"/>
            </w:tcBorders>
            <w:vAlign w:val="center"/>
          </w:tcPr>
          <w:p w14:paraId="2FF3F8B7">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tcBorders>
            <w:vAlign w:val="center"/>
          </w:tcPr>
          <w:p w14:paraId="3D994FD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tcBorders>
            <w:vAlign w:val="center"/>
          </w:tcPr>
          <w:p w14:paraId="3D997A6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right w:val="single" w:color="auto" w:sz="12" w:space="0"/>
            </w:tcBorders>
            <w:vAlign w:val="center"/>
          </w:tcPr>
          <w:p w14:paraId="43FA505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left w:val="single" w:color="auto" w:sz="12" w:space="0"/>
            </w:tcBorders>
            <w:vAlign w:val="center"/>
          </w:tcPr>
          <w:p w14:paraId="74E9AC1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67.16±5.50</w:t>
            </w:r>
            <w:r>
              <w:rPr>
                <w:rFonts w:ascii="Times New Roman" w:hAnsi="Times New Roman" w:eastAsia="Times New Roman" w:cs="Times New Roman"/>
                <w:b/>
                <w:bCs/>
                <w:color w:val="FF0000"/>
                <w:sz w:val="24"/>
                <w:szCs w:val="24"/>
                <w:vertAlign w:val="superscript"/>
              </w:rPr>
              <w:t>b</w:t>
            </w:r>
          </w:p>
        </w:tc>
      </w:tr>
      <w:tr w14:paraId="1544D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5E400DF9">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right w:val="single" w:color="auto" w:sz="12" w:space="0"/>
            </w:tcBorders>
            <w:vAlign w:val="center"/>
          </w:tcPr>
          <w:p w14:paraId="5A650071">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FZ</w:t>
            </w:r>
          </w:p>
        </w:tc>
        <w:tc>
          <w:tcPr>
            <w:tcW w:w="0" w:type="auto"/>
            <w:tcBorders>
              <w:left w:val="single" w:color="auto" w:sz="12" w:space="0"/>
            </w:tcBorders>
            <w:vAlign w:val="center"/>
          </w:tcPr>
          <w:p w14:paraId="6FCED9F9">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vAlign w:val="center"/>
          </w:tcPr>
          <w:p w14:paraId="6D8D0703">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20.00±1.42</w:t>
            </w:r>
            <w:r>
              <w:rPr>
                <w:rFonts w:ascii="Times New Roman" w:hAnsi="Times New Roman" w:eastAsia="Times New Roman" w:cs="Times New Roman"/>
                <w:b/>
                <w:bCs/>
                <w:color w:val="000000"/>
                <w:sz w:val="24"/>
                <w:szCs w:val="24"/>
                <w:vertAlign w:val="superscript"/>
              </w:rPr>
              <w:t>bC</w:t>
            </w:r>
          </w:p>
        </w:tc>
        <w:tc>
          <w:tcPr>
            <w:tcW w:w="0" w:type="auto"/>
            <w:vAlign w:val="center"/>
          </w:tcPr>
          <w:p w14:paraId="5652EAF6">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50.04±6.07</w:t>
            </w:r>
            <w:r>
              <w:rPr>
                <w:rFonts w:ascii="Times New Roman" w:hAnsi="Times New Roman" w:eastAsia="Times New Roman" w:cs="Times New Roman"/>
                <w:b/>
                <w:bCs/>
                <w:color w:val="000000"/>
                <w:sz w:val="24"/>
                <w:szCs w:val="24"/>
                <w:vertAlign w:val="superscript"/>
              </w:rPr>
              <w:t>bB</w:t>
            </w:r>
          </w:p>
        </w:tc>
        <w:tc>
          <w:tcPr>
            <w:tcW w:w="0" w:type="auto"/>
            <w:vAlign w:val="center"/>
          </w:tcPr>
          <w:p w14:paraId="460CB65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70BCBCD6">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13A560A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right w:val="single" w:color="auto" w:sz="12" w:space="0"/>
            </w:tcBorders>
            <w:vAlign w:val="center"/>
          </w:tcPr>
          <w:p w14:paraId="4A795A01">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left w:val="single" w:color="auto" w:sz="12" w:space="0"/>
            </w:tcBorders>
            <w:vAlign w:val="center"/>
          </w:tcPr>
          <w:p w14:paraId="2C7EBDD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67.15±5.49</w:t>
            </w:r>
            <w:r>
              <w:rPr>
                <w:rFonts w:ascii="Times New Roman" w:hAnsi="Times New Roman" w:eastAsia="Times New Roman" w:cs="Times New Roman"/>
                <w:b/>
                <w:bCs/>
                <w:color w:val="FF0000"/>
                <w:sz w:val="24"/>
                <w:szCs w:val="24"/>
                <w:vertAlign w:val="superscript"/>
              </w:rPr>
              <w:t>b</w:t>
            </w:r>
          </w:p>
        </w:tc>
      </w:tr>
      <w:tr w14:paraId="1129F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0C4CF8C2">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right w:val="single" w:color="auto" w:sz="12" w:space="0"/>
            </w:tcBorders>
            <w:vAlign w:val="center"/>
          </w:tcPr>
          <w:p w14:paraId="7FEFE60A">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FB</w:t>
            </w:r>
          </w:p>
        </w:tc>
        <w:tc>
          <w:tcPr>
            <w:tcW w:w="0" w:type="auto"/>
            <w:tcBorders>
              <w:left w:val="single" w:color="auto" w:sz="12" w:space="0"/>
            </w:tcBorders>
            <w:vAlign w:val="center"/>
          </w:tcPr>
          <w:p w14:paraId="31591D59">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vAlign w:val="center"/>
          </w:tcPr>
          <w:p w14:paraId="42C7A1A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cD</w:t>
            </w:r>
          </w:p>
        </w:tc>
        <w:tc>
          <w:tcPr>
            <w:tcW w:w="0" w:type="auto"/>
            <w:vAlign w:val="center"/>
          </w:tcPr>
          <w:p w14:paraId="7F910743">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10.12±1.22</w:t>
            </w:r>
            <w:r>
              <w:rPr>
                <w:rFonts w:ascii="Times New Roman" w:hAnsi="Times New Roman" w:eastAsia="Times New Roman" w:cs="Times New Roman"/>
                <w:b/>
                <w:bCs/>
                <w:color w:val="000000"/>
                <w:sz w:val="24"/>
                <w:szCs w:val="24"/>
                <w:vertAlign w:val="superscript"/>
              </w:rPr>
              <w:t>dC</w:t>
            </w:r>
          </w:p>
        </w:tc>
        <w:tc>
          <w:tcPr>
            <w:tcW w:w="0" w:type="auto"/>
            <w:vAlign w:val="center"/>
          </w:tcPr>
          <w:p w14:paraId="79D08AC0">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25.04±1.21</w:t>
            </w:r>
            <w:r>
              <w:rPr>
                <w:rFonts w:ascii="Times New Roman" w:hAnsi="Times New Roman" w:eastAsia="Times New Roman" w:cs="Times New Roman"/>
                <w:b/>
                <w:bCs/>
                <w:color w:val="000000"/>
                <w:sz w:val="24"/>
                <w:szCs w:val="24"/>
                <w:vertAlign w:val="superscript"/>
              </w:rPr>
              <w:t>bB</w:t>
            </w:r>
          </w:p>
        </w:tc>
        <w:tc>
          <w:tcPr>
            <w:tcW w:w="0" w:type="auto"/>
            <w:vAlign w:val="center"/>
          </w:tcPr>
          <w:p w14:paraId="5067D9DD">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3B1DE5B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right w:val="single" w:color="auto" w:sz="12" w:space="0"/>
            </w:tcBorders>
            <w:vAlign w:val="center"/>
          </w:tcPr>
          <w:p w14:paraId="0501EBE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left w:val="single" w:color="auto" w:sz="12" w:space="0"/>
            </w:tcBorders>
            <w:vAlign w:val="center"/>
          </w:tcPr>
          <w:p w14:paraId="35C2E723">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47.88±6.18</w:t>
            </w:r>
            <w:r>
              <w:rPr>
                <w:rFonts w:ascii="Times New Roman" w:hAnsi="Times New Roman" w:eastAsia="Times New Roman" w:cs="Times New Roman"/>
                <w:b/>
                <w:bCs/>
                <w:color w:val="FF0000"/>
                <w:sz w:val="24"/>
                <w:szCs w:val="24"/>
                <w:vertAlign w:val="superscript"/>
              </w:rPr>
              <w:t>c</w:t>
            </w:r>
          </w:p>
        </w:tc>
      </w:tr>
      <w:tr w14:paraId="087C5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134496DB">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right w:val="single" w:color="auto" w:sz="12" w:space="0"/>
            </w:tcBorders>
            <w:vAlign w:val="center"/>
          </w:tcPr>
          <w:p w14:paraId="495C14F1">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FC</w:t>
            </w:r>
          </w:p>
        </w:tc>
        <w:tc>
          <w:tcPr>
            <w:tcW w:w="0" w:type="auto"/>
            <w:tcBorders>
              <w:left w:val="single" w:color="auto" w:sz="12" w:space="0"/>
            </w:tcBorders>
            <w:vAlign w:val="center"/>
          </w:tcPr>
          <w:p w14:paraId="6C9C4308">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vAlign w:val="center"/>
          </w:tcPr>
          <w:p w14:paraId="41C46FCF">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49.92±5.16</w:t>
            </w:r>
            <w:r>
              <w:rPr>
                <w:rFonts w:ascii="Times New Roman" w:hAnsi="Times New Roman" w:eastAsia="Times New Roman" w:cs="Times New Roman"/>
                <w:b/>
                <w:bCs/>
                <w:color w:val="000000"/>
                <w:sz w:val="24"/>
                <w:szCs w:val="24"/>
                <w:vertAlign w:val="superscript"/>
              </w:rPr>
              <w:t>aC</w:t>
            </w:r>
          </w:p>
        </w:tc>
        <w:tc>
          <w:tcPr>
            <w:tcW w:w="0" w:type="auto"/>
            <w:vAlign w:val="center"/>
          </w:tcPr>
          <w:p w14:paraId="2802333D">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60.21±5.09</w:t>
            </w:r>
            <w:r>
              <w:rPr>
                <w:rFonts w:ascii="Times New Roman" w:hAnsi="Times New Roman" w:eastAsia="Times New Roman" w:cs="Times New Roman"/>
                <w:b/>
                <w:bCs/>
                <w:color w:val="000000"/>
                <w:sz w:val="24"/>
                <w:szCs w:val="24"/>
                <w:vertAlign w:val="superscript"/>
              </w:rPr>
              <w:t>aB</w:t>
            </w:r>
          </w:p>
        </w:tc>
        <w:tc>
          <w:tcPr>
            <w:tcW w:w="0" w:type="auto"/>
            <w:vAlign w:val="center"/>
          </w:tcPr>
          <w:p w14:paraId="7774793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4A5BD6F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4053091D">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right w:val="single" w:color="auto" w:sz="12" w:space="0"/>
            </w:tcBorders>
            <w:vAlign w:val="center"/>
          </w:tcPr>
          <w:p w14:paraId="4C9184A3">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left w:val="single" w:color="auto" w:sz="12" w:space="0"/>
            </w:tcBorders>
            <w:vAlign w:val="center"/>
          </w:tcPr>
          <w:p w14:paraId="059A38A9">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72.88±4.92</w:t>
            </w:r>
            <w:r>
              <w:rPr>
                <w:rFonts w:ascii="Times New Roman" w:hAnsi="Times New Roman" w:eastAsia="Times New Roman" w:cs="Times New Roman"/>
                <w:b/>
                <w:bCs/>
                <w:color w:val="FF0000"/>
                <w:sz w:val="24"/>
                <w:szCs w:val="24"/>
                <w:vertAlign w:val="superscript"/>
              </w:rPr>
              <w:t>a</w:t>
            </w:r>
          </w:p>
        </w:tc>
      </w:tr>
      <w:tr w14:paraId="1765D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262B045E">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right w:val="single" w:color="auto" w:sz="12" w:space="0"/>
            </w:tcBorders>
            <w:vAlign w:val="center"/>
          </w:tcPr>
          <w:p w14:paraId="5B534C62">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FO</w:t>
            </w:r>
          </w:p>
        </w:tc>
        <w:tc>
          <w:tcPr>
            <w:tcW w:w="0" w:type="auto"/>
            <w:tcBorders>
              <w:left w:val="single" w:color="auto" w:sz="12" w:space="0"/>
            </w:tcBorders>
            <w:vAlign w:val="center"/>
          </w:tcPr>
          <w:p w14:paraId="25A63B5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vAlign w:val="center"/>
          </w:tcPr>
          <w:p w14:paraId="753E8BF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cD</w:t>
            </w:r>
          </w:p>
        </w:tc>
        <w:tc>
          <w:tcPr>
            <w:tcW w:w="0" w:type="auto"/>
            <w:vAlign w:val="center"/>
          </w:tcPr>
          <w:p w14:paraId="7B8C27A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10.04±0.98</w:t>
            </w:r>
            <w:r>
              <w:rPr>
                <w:rFonts w:ascii="Times New Roman" w:hAnsi="Times New Roman" w:eastAsia="Times New Roman" w:cs="Times New Roman"/>
                <w:b/>
                <w:bCs/>
                <w:color w:val="000000"/>
                <w:sz w:val="24"/>
                <w:szCs w:val="24"/>
                <w:vertAlign w:val="superscript"/>
              </w:rPr>
              <w:t>dC</w:t>
            </w:r>
          </w:p>
        </w:tc>
        <w:tc>
          <w:tcPr>
            <w:tcW w:w="0" w:type="auto"/>
            <w:vAlign w:val="center"/>
          </w:tcPr>
          <w:p w14:paraId="4ADABA17">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25.5±1.84</w:t>
            </w:r>
            <w:r>
              <w:rPr>
                <w:rFonts w:ascii="Times New Roman" w:hAnsi="Times New Roman" w:eastAsia="Times New Roman" w:cs="Times New Roman"/>
                <w:b/>
                <w:bCs/>
                <w:color w:val="000000"/>
                <w:sz w:val="24"/>
                <w:szCs w:val="24"/>
                <w:vertAlign w:val="superscript"/>
              </w:rPr>
              <w:t>bB</w:t>
            </w:r>
          </w:p>
        </w:tc>
        <w:tc>
          <w:tcPr>
            <w:tcW w:w="0" w:type="auto"/>
            <w:vAlign w:val="center"/>
          </w:tcPr>
          <w:p w14:paraId="4421DEA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6267350F">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right w:val="single" w:color="auto" w:sz="12" w:space="0"/>
            </w:tcBorders>
            <w:vAlign w:val="center"/>
          </w:tcPr>
          <w:p w14:paraId="2C6B677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left w:val="single" w:color="auto" w:sz="12" w:space="0"/>
            </w:tcBorders>
            <w:vAlign w:val="center"/>
          </w:tcPr>
          <w:p w14:paraId="2F6D83CB">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47.93±6.18</w:t>
            </w:r>
            <w:r>
              <w:rPr>
                <w:rFonts w:ascii="Times New Roman" w:hAnsi="Times New Roman" w:eastAsia="Times New Roman" w:cs="Times New Roman"/>
                <w:b/>
                <w:bCs/>
                <w:color w:val="FF0000"/>
                <w:sz w:val="24"/>
                <w:szCs w:val="24"/>
                <w:vertAlign w:val="superscript"/>
              </w:rPr>
              <w:t>c</w:t>
            </w:r>
          </w:p>
        </w:tc>
      </w:tr>
      <w:tr w14:paraId="0D51B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3A44F2BC">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right w:val="single" w:color="auto" w:sz="12" w:space="0"/>
            </w:tcBorders>
            <w:vAlign w:val="center"/>
          </w:tcPr>
          <w:p w14:paraId="0220DC0F">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FP</w:t>
            </w:r>
          </w:p>
        </w:tc>
        <w:tc>
          <w:tcPr>
            <w:tcW w:w="0" w:type="auto"/>
            <w:tcBorders>
              <w:left w:val="single" w:color="auto" w:sz="12" w:space="0"/>
            </w:tcBorders>
            <w:vAlign w:val="center"/>
          </w:tcPr>
          <w:p w14:paraId="41A6E30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vAlign w:val="center"/>
          </w:tcPr>
          <w:p w14:paraId="3A6114A9">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cD</w:t>
            </w:r>
          </w:p>
        </w:tc>
        <w:tc>
          <w:tcPr>
            <w:tcW w:w="0" w:type="auto"/>
            <w:vAlign w:val="center"/>
          </w:tcPr>
          <w:p w14:paraId="396264F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10.00±1.13</w:t>
            </w:r>
            <w:r>
              <w:rPr>
                <w:rFonts w:ascii="Times New Roman" w:hAnsi="Times New Roman" w:eastAsia="Times New Roman" w:cs="Times New Roman"/>
                <w:b/>
                <w:bCs/>
                <w:color w:val="000000"/>
                <w:sz w:val="24"/>
                <w:szCs w:val="24"/>
                <w:vertAlign w:val="superscript"/>
              </w:rPr>
              <w:t>dC</w:t>
            </w:r>
          </w:p>
        </w:tc>
        <w:tc>
          <w:tcPr>
            <w:tcW w:w="0" w:type="auto"/>
            <w:vAlign w:val="center"/>
          </w:tcPr>
          <w:p w14:paraId="0EC771AE">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25.08±1.71</w:t>
            </w:r>
            <w:r>
              <w:rPr>
                <w:rFonts w:ascii="Times New Roman" w:hAnsi="Times New Roman" w:eastAsia="Times New Roman" w:cs="Times New Roman"/>
                <w:b/>
                <w:bCs/>
                <w:color w:val="000000"/>
                <w:sz w:val="24"/>
                <w:szCs w:val="24"/>
                <w:vertAlign w:val="superscript"/>
              </w:rPr>
              <w:t>bB</w:t>
            </w:r>
          </w:p>
        </w:tc>
        <w:tc>
          <w:tcPr>
            <w:tcW w:w="0" w:type="auto"/>
            <w:vAlign w:val="center"/>
          </w:tcPr>
          <w:p w14:paraId="1460EAE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vAlign w:val="center"/>
          </w:tcPr>
          <w:p w14:paraId="6520F08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right w:val="single" w:color="auto" w:sz="12" w:space="0"/>
            </w:tcBorders>
            <w:vAlign w:val="center"/>
          </w:tcPr>
          <w:p w14:paraId="3BB7EC2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left w:val="single" w:color="auto" w:sz="12" w:space="0"/>
            </w:tcBorders>
            <w:vAlign w:val="center"/>
          </w:tcPr>
          <w:p w14:paraId="19EBFCE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47.87±6.18</w:t>
            </w:r>
            <w:r>
              <w:rPr>
                <w:rFonts w:ascii="Times New Roman" w:hAnsi="Times New Roman" w:eastAsia="Times New Roman" w:cs="Times New Roman"/>
                <w:b/>
                <w:bCs/>
                <w:color w:val="FF0000"/>
                <w:sz w:val="24"/>
                <w:szCs w:val="24"/>
                <w:vertAlign w:val="superscript"/>
              </w:rPr>
              <w:t>c</w:t>
            </w:r>
          </w:p>
        </w:tc>
      </w:tr>
      <w:tr w14:paraId="7AE47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bottom w:val="single" w:color="auto" w:sz="12" w:space="0"/>
              <w:right w:val="single" w:color="auto" w:sz="4" w:space="0"/>
            </w:tcBorders>
            <w:vAlign w:val="center"/>
          </w:tcPr>
          <w:p w14:paraId="13EA33F1">
            <w:pPr>
              <w:spacing w:after="0" w:line="240" w:lineRule="auto"/>
              <w:jc w:val="center"/>
              <w:rPr>
                <w:rFonts w:ascii="Times New Roman" w:hAnsi="Times New Roman" w:eastAsia="Times New Roman" w:cs="Times New Roman"/>
                <w:b/>
                <w:bCs/>
                <w:sz w:val="24"/>
                <w:szCs w:val="24"/>
                <w:lang w:bidi="ar-EG"/>
              </w:rPr>
            </w:pPr>
          </w:p>
        </w:tc>
        <w:tc>
          <w:tcPr>
            <w:tcW w:w="0" w:type="auto"/>
            <w:tcBorders>
              <w:left w:val="single" w:color="auto" w:sz="4" w:space="0"/>
              <w:bottom w:val="single" w:color="auto" w:sz="12" w:space="0"/>
              <w:right w:val="single" w:color="auto" w:sz="12" w:space="0"/>
            </w:tcBorders>
            <w:vAlign w:val="center"/>
          </w:tcPr>
          <w:p w14:paraId="1AD76451">
            <w:pPr>
              <w:spacing w:after="0" w:line="240" w:lineRule="auto"/>
              <w:jc w:val="center"/>
              <w:rPr>
                <w:rFonts w:ascii="Times New Roman" w:hAnsi="Times New Roman" w:eastAsia="Times New Roman" w:cs="Times New Roman"/>
                <w:b/>
                <w:bCs/>
                <w:color w:val="FF0000"/>
                <w:sz w:val="24"/>
                <w:szCs w:val="24"/>
                <w:lang w:bidi="ar-EG"/>
              </w:rPr>
            </w:pPr>
            <w:r>
              <w:rPr>
                <w:rFonts w:ascii="Times New Roman" w:hAnsi="Times New Roman" w:eastAsia="Times New Roman" w:cs="Times New Roman"/>
                <w:b/>
                <w:bCs/>
                <w:color w:val="FF0000"/>
                <w:sz w:val="24"/>
                <w:szCs w:val="24"/>
                <w:lang w:bidi="ar-EG"/>
              </w:rPr>
              <w:t>Mean</w:t>
            </w:r>
          </w:p>
        </w:tc>
        <w:tc>
          <w:tcPr>
            <w:tcW w:w="0" w:type="auto"/>
            <w:tcBorders>
              <w:left w:val="single" w:color="auto" w:sz="12" w:space="0"/>
              <w:bottom w:val="single" w:color="auto" w:sz="12" w:space="0"/>
            </w:tcBorders>
            <w:vAlign w:val="center"/>
          </w:tcPr>
          <w:p w14:paraId="5430410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0±0</w:t>
            </w:r>
            <w:r>
              <w:rPr>
                <w:rFonts w:ascii="Times New Roman" w:hAnsi="Times New Roman" w:eastAsia="Times New Roman" w:cs="Times New Roman"/>
                <w:b/>
                <w:bCs/>
                <w:color w:val="FF0000"/>
                <w:sz w:val="24"/>
                <w:szCs w:val="24"/>
                <w:vertAlign w:val="superscript"/>
              </w:rPr>
              <w:t>E</w:t>
            </w:r>
          </w:p>
        </w:tc>
        <w:tc>
          <w:tcPr>
            <w:tcW w:w="0" w:type="auto"/>
            <w:tcBorders>
              <w:bottom w:val="single" w:color="auto" w:sz="12" w:space="0"/>
            </w:tcBorders>
            <w:vAlign w:val="center"/>
          </w:tcPr>
          <w:p w14:paraId="5A3AAB7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15.01±2.78</w:t>
            </w:r>
            <w:r>
              <w:rPr>
                <w:rFonts w:ascii="Times New Roman" w:hAnsi="Times New Roman" w:eastAsia="Times New Roman" w:cs="Times New Roman"/>
                <w:b/>
                <w:bCs/>
                <w:color w:val="FF0000"/>
                <w:sz w:val="24"/>
                <w:szCs w:val="24"/>
                <w:vertAlign w:val="superscript"/>
              </w:rPr>
              <w:t>D</w:t>
            </w:r>
          </w:p>
        </w:tc>
        <w:tc>
          <w:tcPr>
            <w:tcW w:w="0" w:type="auto"/>
            <w:tcBorders>
              <w:bottom w:val="single" w:color="auto" w:sz="12" w:space="0"/>
            </w:tcBorders>
            <w:vAlign w:val="center"/>
          </w:tcPr>
          <w:p w14:paraId="17CFCCF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31.73±3.59</w:t>
            </w:r>
            <w:r>
              <w:rPr>
                <w:rFonts w:ascii="Times New Roman" w:hAnsi="Times New Roman" w:eastAsia="Times New Roman" w:cs="Times New Roman"/>
                <w:b/>
                <w:bCs/>
                <w:color w:val="FF0000"/>
                <w:sz w:val="24"/>
                <w:szCs w:val="24"/>
                <w:vertAlign w:val="superscript"/>
              </w:rPr>
              <w:t>C</w:t>
            </w:r>
          </w:p>
        </w:tc>
        <w:tc>
          <w:tcPr>
            <w:tcW w:w="0" w:type="auto"/>
            <w:tcBorders>
              <w:bottom w:val="single" w:color="auto" w:sz="12" w:space="0"/>
            </w:tcBorders>
            <w:vAlign w:val="center"/>
          </w:tcPr>
          <w:p w14:paraId="19F7F5E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62.60±5.47</w:t>
            </w:r>
            <w:r>
              <w:rPr>
                <w:rFonts w:ascii="Times New Roman" w:hAnsi="Times New Roman" w:eastAsia="Times New Roman" w:cs="Times New Roman"/>
                <w:b/>
                <w:bCs/>
                <w:color w:val="FF0000"/>
                <w:sz w:val="24"/>
                <w:szCs w:val="24"/>
                <w:vertAlign w:val="superscript"/>
              </w:rPr>
              <w:t>B</w:t>
            </w:r>
          </w:p>
        </w:tc>
        <w:tc>
          <w:tcPr>
            <w:tcW w:w="0" w:type="auto"/>
            <w:tcBorders>
              <w:bottom w:val="single" w:color="auto" w:sz="12" w:space="0"/>
            </w:tcBorders>
            <w:vAlign w:val="center"/>
          </w:tcPr>
          <w:p w14:paraId="58A27424">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bottom w:val="single" w:color="auto" w:sz="12" w:space="0"/>
            </w:tcBorders>
            <w:vAlign w:val="center"/>
          </w:tcPr>
          <w:p w14:paraId="6B4E6A42">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bottom w:val="single" w:color="auto" w:sz="12" w:space="0"/>
              <w:right w:val="single" w:color="auto" w:sz="12" w:space="0"/>
            </w:tcBorders>
            <w:vAlign w:val="center"/>
          </w:tcPr>
          <w:p w14:paraId="3A4F565F">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left w:val="single" w:color="auto" w:sz="12" w:space="0"/>
              <w:bottom w:val="single" w:color="auto" w:sz="12" w:space="0"/>
            </w:tcBorders>
            <w:shd w:val="clear" w:color="auto" w:fill="00FFFF"/>
            <w:vAlign w:val="center"/>
          </w:tcPr>
          <w:p w14:paraId="10B13FA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58.48±2.41</w:t>
            </w:r>
          </w:p>
        </w:tc>
      </w:tr>
      <w:tr w14:paraId="406C1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12" w:space="0"/>
              <w:right w:val="single" w:color="auto" w:sz="4" w:space="0"/>
            </w:tcBorders>
            <w:textDirection w:val="btLr"/>
            <w:vAlign w:val="center"/>
          </w:tcPr>
          <w:p w14:paraId="29920FB7">
            <w:pPr>
              <w:spacing w:after="0" w:line="240" w:lineRule="auto"/>
              <w:ind w:left="113" w:right="113"/>
              <w:jc w:val="center"/>
              <w:rPr>
                <w:rFonts w:ascii="Times New Roman" w:hAnsi="Times New Roman" w:eastAsia="Times New Roman" w:cs="Times New Roman"/>
                <w:b/>
                <w:bCs/>
                <w:i/>
                <w:iCs/>
                <w:sz w:val="24"/>
                <w:szCs w:val="24"/>
                <w:lang w:bidi="ar-EG"/>
              </w:rPr>
            </w:pPr>
            <w:r>
              <w:rPr>
                <w:rFonts w:ascii="Times New Roman" w:hAnsi="Times New Roman" w:eastAsia="Times New Roman" w:cs="Times New Roman"/>
                <w:b/>
                <w:bCs/>
                <w:i/>
                <w:iCs/>
                <w:kern w:val="2"/>
                <w:sz w:val="24"/>
                <w:szCs w:val="24"/>
                <w:lang w:val="en-GB" w:eastAsia="ar-SA"/>
              </w:rPr>
              <w:t>Tylenchulus semipenetran</w:t>
            </w:r>
            <w:r>
              <w:rPr>
                <w:rFonts w:ascii="Times New Roman" w:hAnsi="Times New Roman" w:eastAsia="Times New Roman" w:cs="Times New Roman"/>
                <w:b/>
                <w:bCs/>
                <w:i/>
                <w:iCs/>
                <w:sz w:val="24"/>
                <w:szCs w:val="24"/>
                <w:lang w:val="en-GB" w:eastAsia="ar-SA" w:bidi="ar-EG"/>
              </w:rPr>
              <w:t>s</w:t>
            </w:r>
          </w:p>
        </w:tc>
        <w:tc>
          <w:tcPr>
            <w:tcW w:w="0" w:type="auto"/>
            <w:tcBorders>
              <w:top w:val="single" w:color="auto" w:sz="12" w:space="0"/>
              <w:left w:val="single" w:color="auto" w:sz="4" w:space="0"/>
              <w:bottom w:val="single" w:color="auto" w:sz="4" w:space="0"/>
              <w:right w:val="single" w:color="auto" w:sz="12" w:space="0"/>
            </w:tcBorders>
            <w:vAlign w:val="center"/>
          </w:tcPr>
          <w:p w14:paraId="6371B978">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FM</w:t>
            </w:r>
          </w:p>
        </w:tc>
        <w:tc>
          <w:tcPr>
            <w:tcW w:w="0" w:type="auto"/>
            <w:tcBorders>
              <w:top w:val="single" w:color="auto" w:sz="12" w:space="0"/>
              <w:left w:val="single" w:color="auto" w:sz="12" w:space="0"/>
              <w:bottom w:val="single" w:color="auto" w:sz="4" w:space="0"/>
            </w:tcBorders>
            <w:vAlign w:val="center"/>
          </w:tcPr>
          <w:p w14:paraId="1CE5103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sz w:val="24"/>
                <w:szCs w:val="24"/>
                <w:vertAlign w:val="superscript"/>
              </w:rPr>
              <w:t>aE</w:t>
            </w:r>
          </w:p>
        </w:tc>
        <w:tc>
          <w:tcPr>
            <w:tcW w:w="0" w:type="auto"/>
            <w:tcBorders>
              <w:top w:val="single" w:color="auto" w:sz="12" w:space="0"/>
              <w:bottom w:val="single" w:color="auto" w:sz="4" w:space="0"/>
            </w:tcBorders>
            <w:vAlign w:val="center"/>
          </w:tcPr>
          <w:p w14:paraId="1AAB6C0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20.00±1.98</w:t>
            </w:r>
            <w:r>
              <w:rPr>
                <w:rFonts w:ascii="Times New Roman" w:hAnsi="Times New Roman" w:eastAsia="Times New Roman" w:cs="Times New Roman"/>
                <w:b/>
                <w:bCs/>
                <w:color w:val="000000"/>
                <w:sz w:val="24"/>
                <w:szCs w:val="24"/>
                <w:vertAlign w:val="superscript"/>
              </w:rPr>
              <w:t>cD</w:t>
            </w:r>
          </w:p>
        </w:tc>
        <w:tc>
          <w:tcPr>
            <w:tcW w:w="0" w:type="auto"/>
            <w:tcBorders>
              <w:top w:val="single" w:color="auto" w:sz="12" w:space="0"/>
              <w:bottom w:val="single" w:color="auto" w:sz="4" w:space="0"/>
            </w:tcBorders>
            <w:vAlign w:val="center"/>
          </w:tcPr>
          <w:p w14:paraId="3D5C8A9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43.07±1.59</w:t>
            </w:r>
            <w:r>
              <w:rPr>
                <w:rFonts w:ascii="Times New Roman" w:hAnsi="Times New Roman" w:eastAsia="Times New Roman" w:cs="Times New Roman"/>
                <w:b/>
                <w:bCs/>
                <w:color w:val="000000"/>
                <w:sz w:val="24"/>
                <w:szCs w:val="24"/>
                <w:vertAlign w:val="superscript"/>
              </w:rPr>
              <w:t>cC</w:t>
            </w:r>
          </w:p>
        </w:tc>
        <w:tc>
          <w:tcPr>
            <w:tcW w:w="0" w:type="auto"/>
            <w:tcBorders>
              <w:top w:val="single" w:color="auto" w:sz="12" w:space="0"/>
              <w:bottom w:val="single" w:color="auto" w:sz="4" w:space="0"/>
            </w:tcBorders>
            <w:vAlign w:val="center"/>
          </w:tcPr>
          <w:p w14:paraId="223E476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62.60±3.71</w:t>
            </w:r>
            <w:r>
              <w:rPr>
                <w:rFonts w:ascii="Times New Roman" w:hAnsi="Times New Roman" w:eastAsia="Times New Roman" w:cs="Times New Roman"/>
                <w:b/>
                <w:bCs/>
                <w:color w:val="000000"/>
                <w:sz w:val="24"/>
                <w:szCs w:val="24"/>
                <w:vertAlign w:val="superscript"/>
              </w:rPr>
              <w:t>cB</w:t>
            </w:r>
          </w:p>
        </w:tc>
        <w:tc>
          <w:tcPr>
            <w:tcW w:w="0" w:type="auto"/>
            <w:tcBorders>
              <w:top w:val="single" w:color="auto" w:sz="12" w:space="0"/>
              <w:bottom w:val="single" w:color="auto" w:sz="4" w:space="0"/>
            </w:tcBorders>
            <w:vAlign w:val="center"/>
          </w:tcPr>
          <w:p w14:paraId="4A4543B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bottom w:val="single" w:color="auto" w:sz="4" w:space="0"/>
            </w:tcBorders>
            <w:vAlign w:val="center"/>
          </w:tcPr>
          <w:p w14:paraId="5E444190">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bottom w:val="single" w:color="auto" w:sz="4" w:space="0"/>
              <w:right w:val="single" w:color="auto" w:sz="12" w:space="0"/>
            </w:tcBorders>
            <w:vAlign w:val="center"/>
          </w:tcPr>
          <w:p w14:paraId="7B9408F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12" w:space="0"/>
              <w:left w:val="single" w:color="auto" w:sz="12" w:space="0"/>
              <w:bottom w:val="single" w:color="auto" w:sz="4" w:space="0"/>
            </w:tcBorders>
            <w:vAlign w:val="center"/>
          </w:tcPr>
          <w:p w14:paraId="79294C9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61.77±5.78</w:t>
            </w:r>
            <w:r>
              <w:rPr>
                <w:rFonts w:ascii="Times New Roman" w:hAnsi="Times New Roman" w:eastAsia="Times New Roman" w:cs="Times New Roman"/>
                <w:b/>
                <w:bCs/>
                <w:color w:val="FF0000"/>
                <w:sz w:val="24"/>
                <w:szCs w:val="24"/>
                <w:vertAlign w:val="superscript"/>
              </w:rPr>
              <w:t>b</w:t>
            </w:r>
          </w:p>
        </w:tc>
      </w:tr>
      <w:tr w14:paraId="4D787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0E4AB56E">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4" w:space="0"/>
              <w:right w:val="single" w:color="auto" w:sz="12" w:space="0"/>
            </w:tcBorders>
            <w:vAlign w:val="center"/>
          </w:tcPr>
          <w:p w14:paraId="631EFE99">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FZ</w:t>
            </w:r>
          </w:p>
        </w:tc>
        <w:tc>
          <w:tcPr>
            <w:tcW w:w="0" w:type="auto"/>
            <w:tcBorders>
              <w:top w:val="single" w:color="auto" w:sz="4" w:space="0"/>
              <w:left w:val="single" w:color="auto" w:sz="12" w:space="0"/>
              <w:bottom w:val="single" w:color="auto" w:sz="4" w:space="0"/>
            </w:tcBorders>
            <w:vAlign w:val="center"/>
          </w:tcPr>
          <w:p w14:paraId="371A11E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aE</w:t>
            </w:r>
          </w:p>
        </w:tc>
        <w:tc>
          <w:tcPr>
            <w:tcW w:w="0" w:type="auto"/>
            <w:tcBorders>
              <w:top w:val="single" w:color="auto" w:sz="4" w:space="0"/>
              <w:bottom w:val="single" w:color="auto" w:sz="4" w:space="0"/>
            </w:tcBorders>
            <w:vAlign w:val="center"/>
          </w:tcPr>
          <w:p w14:paraId="7E2E322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22.17±0.99</w:t>
            </w:r>
            <w:r>
              <w:rPr>
                <w:rFonts w:ascii="Times New Roman" w:hAnsi="Times New Roman" w:eastAsia="Times New Roman" w:cs="Times New Roman"/>
                <w:b/>
                <w:bCs/>
                <w:color w:val="000000"/>
                <w:sz w:val="24"/>
                <w:szCs w:val="24"/>
                <w:vertAlign w:val="superscript"/>
              </w:rPr>
              <w:t>bD</w:t>
            </w:r>
          </w:p>
        </w:tc>
        <w:tc>
          <w:tcPr>
            <w:tcW w:w="0" w:type="auto"/>
            <w:tcBorders>
              <w:top w:val="single" w:color="auto" w:sz="4" w:space="0"/>
              <w:bottom w:val="single" w:color="auto" w:sz="4" w:space="0"/>
            </w:tcBorders>
            <w:vAlign w:val="center"/>
          </w:tcPr>
          <w:p w14:paraId="4D46A41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48.07±2.84</w:t>
            </w:r>
            <w:r>
              <w:rPr>
                <w:rFonts w:ascii="Times New Roman" w:hAnsi="Times New Roman" w:eastAsia="Times New Roman" w:cs="Times New Roman"/>
                <w:b/>
                <w:bCs/>
                <w:color w:val="000000"/>
                <w:sz w:val="24"/>
                <w:szCs w:val="24"/>
                <w:vertAlign w:val="superscript"/>
              </w:rPr>
              <w:t>bC</w:t>
            </w:r>
          </w:p>
        </w:tc>
        <w:tc>
          <w:tcPr>
            <w:tcW w:w="0" w:type="auto"/>
            <w:tcBorders>
              <w:top w:val="single" w:color="auto" w:sz="4" w:space="0"/>
              <w:bottom w:val="single" w:color="auto" w:sz="4" w:space="0"/>
            </w:tcBorders>
            <w:vAlign w:val="center"/>
          </w:tcPr>
          <w:p w14:paraId="2A12AAF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65.40±6.03</w:t>
            </w:r>
            <w:r>
              <w:rPr>
                <w:rFonts w:ascii="Times New Roman" w:hAnsi="Times New Roman" w:eastAsia="Times New Roman" w:cs="Times New Roman"/>
                <w:b/>
                <w:bCs/>
                <w:color w:val="000000"/>
                <w:sz w:val="24"/>
                <w:szCs w:val="24"/>
                <w:vertAlign w:val="superscript"/>
              </w:rPr>
              <w:t>bB</w:t>
            </w:r>
          </w:p>
        </w:tc>
        <w:tc>
          <w:tcPr>
            <w:tcW w:w="0" w:type="auto"/>
            <w:tcBorders>
              <w:top w:val="single" w:color="auto" w:sz="4" w:space="0"/>
              <w:bottom w:val="single" w:color="auto" w:sz="4" w:space="0"/>
            </w:tcBorders>
            <w:vAlign w:val="center"/>
          </w:tcPr>
          <w:p w14:paraId="293511E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tcBorders>
            <w:vAlign w:val="center"/>
          </w:tcPr>
          <w:p w14:paraId="73FBCA43">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right w:val="single" w:color="auto" w:sz="12" w:space="0"/>
            </w:tcBorders>
            <w:vAlign w:val="center"/>
          </w:tcPr>
          <w:p w14:paraId="1D8B714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left w:val="single" w:color="auto" w:sz="12" w:space="0"/>
              <w:bottom w:val="single" w:color="auto" w:sz="4" w:space="0"/>
            </w:tcBorders>
            <w:vAlign w:val="center"/>
          </w:tcPr>
          <w:p w14:paraId="0984FA0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62.89±5.72</w:t>
            </w:r>
            <w:r>
              <w:rPr>
                <w:rFonts w:ascii="Times New Roman" w:hAnsi="Times New Roman" w:eastAsia="Times New Roman" w:cs="Times New Roman"/>
                <w:b/>
                <w:bCs/>
                <w:color w:val="FF0000"/>
                <w:sz w:val="24"/>
                <w:szCs w:val="24"/>
                <w:vertAlign w:val="superscript"/>
              </w:rPr>
              <w:t>b</w:t>
            </w:r>
          </w:p>
        </w:tc>
      </w:tr>
      <w:tr w14:paraId="63C27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210BAF17">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4" w:space="0"/>
              <w:right w:val="single" w:color="auto" w:sz="12" w:space="0"/>
            </w:tcBorders>
            <w:vAlign w:val="center"/>
          </w:tcPr>
          <w:p w14:paraId="5848D96D">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FB</w:t>
            </w:r>
          </w:p>
        </w:tc>
        <w:tc>
          <w:tcPr>
            <w:tcW w:w="0" w:type="auto"/>
            <w:tcBorders>
              <w:top w:val="single" w:color="auto" w:sz="4" w:space="0"/>
              <w:left w:val="single" w:color="auto" w:sz="12" w:space="0"/>
              <w:bottom w:val="single" w:color="auto" w:sz="4" w:space="0"/>
            </w:tcBorders>
            <w:vAlign w:val="center"/>
          </w:tcPr>
          <w:p w14:paraId="7DC9FCC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aE</w:t>
            </w:r>
          </w:p>
        </w:tc>
        <w:tc>
          <w:tcPr>
            <w:tcW w:w="0" w:type="auto"/>
            <w:tcBorders>
              <w:top w:val="single" w:color="auto" w:sz="4" w:space="0"/>
              <w:bottom w:val="single" w:color="auto" w:sz="4" w:space="0"/>
            </w:tcBorders>
            <w:vAlign w:val="center"/>
          </w:tcPr>
          <w:p w14:paraId="48F3DB8D">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dD</w:t>
            </w:r>
          </w:p>
        </w:tc>
        <w:tc>
          <w:tcPr>
            <w:tcW w:w="0" w:type="auto"/>
            <w:tcBorders>
              <w:top w:val="single" w:color="auto" w:sz="4" w:space="0"/>
              <w:bottom w:val="single" w:color="auto" w:sz="4" w:space="0"/>
            </w:tcBorders>
            <w:vAlign w:val="center"/>
          </w:tcPr>
          <w:p w14:paraId="4E3A87F7">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15.13±1.60</w:t>
            </w:r>
            <w:r>
              <w:rPr>
                <w:rFonts w:ascii="Times New Roman" w:hAnsi="Times New Roman" w:eastAsia="Times New Roman" w:cs="Times New Roman"/>
                <w:b/>
                <w:bCs/>
                <w:color w:val="000000"/>
                <w:sz w:val="24"/>
                <w:szCs w:val="24"/>
                <w:vertAlign w:val="superscript"/>
              </w:rPr>
              <w:t>dC</w:t>
            </w:r>
          </w:p>
        </w:tc>
        <w:tc>
          <w:tcPr>
            <w:tcW w:w="0" w:type="auto"/>
            <w:tcBorders>
              <w:top w:val="single" w:color="auto" w:sz="4" w:space="0"/>
              <w:bottom w:val="single" w:color="auto" w:sz="4" w:space="0"/>
            </w:tcBorders>
            <w:vAlign w:val="center"/>
          </w:tcPr>
          <w:p w14:paraId="367EDD1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19.71±1.16</w:t>
            </w:r>
            <w:r>
              <w:rPr>
                <w:rFonts w:ascii="Times New Roman" w:hAnsi="Times New Roman" w:eastAsia="Times New Roman" w:cs="Times New Roman"/>
                <w:b/>
                <w:bCs/>
                <w:color w:val="000000"/>
                <w:sz w:val="24"/>
                <w:szCs w:val="24"/>
                <w:vertAlign w:val="superscript"/>
              </w:rPr>
              <w:t>eB</w:t>
            </w:r>
          </w:p>
        </w:tc>
        <w:tc>
          <w:tcPr>
            <w:tcW w:w="0" w:type="auto"/>
            <w:tcBorders>
              <w:top w:val="single" w:color="auto" w:sz="4" w:space="0"/>
              <w:bottom w:val="single" w:color="auto" w:sz="4" w:space="0"/>
            </w:tcBorders>
            <w:vAlign w:val="center"/>
          </w:tcPr>
          <w:p w14:paraId="3BF52E80">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tcBorders>
            <w:vAlign w:val="center"/>
          </w:tcPr>
          <w:p w14:paraId="4805A83C">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right w:val="single" w:color="auto" w:sz="12" w:space="0"/>
            </w:tcBorders>
            <w:vAlign w:val="center"/>
          </w:tcPr>
          <w:p w14:paraId="1C13E76E">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left w:val="single" w:color="auto" w:sz="12" w:space="0"/>
              <w:bottom w:val="single" w:color="auto" w:sz="4" w:space="0"/>
            </w:tcBorders>
            <w:vAlign w:val="center"/>
          </w:tcPr>
          <w:p w14:paraId="42A2347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47.83±6.16</w:t>
            </w:r>
            <w:r>
              <w:rPr>
                <w:rFonts w:ascii="Times New Roman" w:hAnsi="Times New Roman" w:eastAsia="Times New Roman" w:cs="Times New Roman"/>
                <w:b/>
                <w:bCs/>
                <w:color w:val="FF0000"/>
                <w:sz w:val="24"/>
                <w:szCs w:val="24"/>
                <w:vertAlign w:val="superscript"/>
              </w:rPr>
              <w:t>c</w:t>
            </w:r>
          </w:p>
        </w:tc>
      </w:tr>
      <w:tr w14:paraId="6CAE7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37A186DF">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4" w:space="0"/>
              <w:right w:val="single" w:color="auto" w:sz="12" w:space="0"/>
            </w:tcBorders>
            <w:vAlign w:val="center"/>
          </w:tcPr>
          <w:p w14:paraId="4ABFF626">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FC</w:t>
            </w:r>
          </w:p>
        </w:tc>
        <w:tc>
          <w:tcPr>
            <w:tcW w:w="0" w:type="auto"/>
            <w:tcBorders>
              <w:top w:val="single" w:color="auto" w:sz="4" w:space="0"/>
              <w:left w:val="single" w:color="auto" w:sz="12" w:space="0"/>
              <w:bottom w:val="single" w:color="auto" w:sz="4" w:space="0"/>
            </w:tcBorders>
            <w:vAlign w:val="center"/>
          </w:tcPr>
          <w:p w14:paraId="4152E12D">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aE</w:t>
            </w:r>
          </w:p>
        </w:tc>
        <w:tc>
          <w:tcPr>
            <w:tcW w:w="0" w:type="auto"/>
            <w:tcBorders>
              <w:top w:val="single" w:color="auto" w:sz="4" w:space="0"/>
              <w:bottom w:val="single" w:color="auto" w:sz="4" w:space="0"/>
            </w:tcBorders>
            <w:vAlign w:val="center"/>
          </w:tcPr>
          <w:p w14:paraId="23955F3B">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44.00±4.19</w:t>
            </w:r>
            <w:r>
              <w:rPr>
                <w:rFonts w:ascii="Times New Roman" w:hAnsi="Times New Roman" w:eastAsia="Times New Roman" w:cs="Times New Roman"/>
                <w:b/>
                <w:bCs/>
                <w:color w:val="000000"/>
                <w:sz w:val="24"/>
                <w:szCs w:val="24"/>
                <w:vertAlign w:val="superscript"/>
              </w:rPr>
              <w:t>aD</w:t>
            </w:r>
          </w:p>
        </w:tc>
        <w:tc>
          <w:tcPr>
            <w:tcW w:w="0" w:type="auto"/>
            <w:tcBorders>
              <w:top w:val="single" w:color="auto" w:sz="4" w:space="0"/>
              <w:bottom w:val="single" w:color="auto" w:sz="4" w:space="0"/>
            </w:tcBorders>
            <w:vAlign w:val="center"/>
          </w:tcPr>
          <w:p w14:paraId="347312C8">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55.53±2.5</w:t>
            </w:r>
            <w:r>
              <w:rPr>
                <w:rFonts w:ascii="Times New Roman" w:hAnsi="Times New Roman" w:eastAsia="Times New Roman" w:cs="Times New Roman"/>
                <w:b/>
                <w:bCs/>
                <w:color w:val="000000"/>
                <w:sz w:val="24"/>
                <w:szCs w:val="24"/>
                <w:vertAlign w:val="superscript"/>
              </w:rPr>
              <w:t>aC</w:t>
            </w:r>
          </w:p>
        </w:tc>
        <w:tc>
          <w:tcPr>
            <w:tcW w:w="0" w:type="auto"/>
            <w:tcBorders>
              <w:top w:val="single" w:color="auto" w:sz="4" w:space="0"/>
              <w:bottom w:val="single" w:color="auto" w:sz="4" w:space="0"/>
            </w:tcBorders>
            <w:vAlign w:val="center"/>
          </w:tcPr>
          <w:p w14:paraId="3DA44CE9">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73.53±2.82</w:t>
            </w:r>
            <w:r>
              <w:rPr>
                <w:rFonts w:ascii="Times New Roman" w:hAnsi="Times New Roman" w:eastAsia="Times New Roman" w:cs="Times New Roman"/>
                <w:b/>
                <w:bCs/>
                <w:color w:val="000000"/>
                <w:sz w:val="24"/>
                <w:szCs w:val="24"/>
                <w:vertAlign w:val="superscript"/>
              </w:rPr>
              <w:t>aB</w:t>
            </w:r>
          </w:p>
        </w:tc>
        <w:tc>
          <w:tcPr>
            <w:tcW w:w="0" w:type="auto"/>
            <w:tcBorders>
              <w:top w:val="single" w:color="auto" w:sz="4" w:space="0"/>
              <w:bottom w:val="single" w:color="auto" w:sz="4" w:space="0"/>
            </w:tcBorders>
            <w:vAlign w:val="center"/>
          </w:tcPr>
          <w:p w14:paraId="632760B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tcBorders>
            <w:vAlign w:val="center"/>
          </w:tcPr>
          <w:p w14:paraId="78B5E654">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right w:val="single" w:color="auto" w:sz="12" w:space="0"/>
            </w:tcBorders>
            <w:vAlign w:val="center"/>
          </w:tcPr>
          <w:p w14:paraId="755217E7">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left w:val="single" w:color="auto" w:sz="12" w:space="0"/>
              <w:bottom w:val="single" w:color="auto" w:sz="4" w:space="0"/>
            </w:tcBorders>
            <w:vAlign w:val="center"/>
          </w:tcPr>
          <w:p w14:paraId="696BEEA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67.95±5.28</w:t>
            </w:r>
            <w:r>
              <w:rPr>
                <w:rFonts w:ascii="Times New Roman" w:hAnsi="Times New Roman" w:eastAsia="Times New Roman" w:cs="Times New Roman"/>
                <w:b/>
                <w:bCs/>
                <w:color w:val="FF0000"/>
                <w:sz w:val="24"/>
                <w:szCs w:val="24"/>
                <w:vertAlign w:val="superscript"/>
              </w:rPr>
              <w:t>a</w:t>
            </w:r>
          </w:p>
        </w:tc>
      </w:tr>
      <w:tr w14:paraId="2A0A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7D290063">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4" w:space="0"/>
              <w:right w:val="single" w:color="auto" w:sz="12" w:space="0"/>
            </w:tcBorders>
            <w:vAlign w:val="center"/>
          </w:tcPr>
          <w:p w14:paraId="2900DEB6">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FO</w:t>
            </w:r>
          </w:p>
        </w:tc>
        <w:tc>
          <w:tcPr>
            <w:tcW w:w="0" w:type="auto"/>
            <w:tcBorders>
              <w:top w:val="single" w:color="auto" w:sz="4" w:space="0"/>
              <w:left w:val="single" w:color="auto" w:sz="12" w:space="0"/>
              <w:bottom w:val="single" w:color="auto" w:sz="4" w:space="0"/>
            </w:tcBorders>
            <w:vAlign w:val="center"/>
          </w:tcPr>
          <w:p w14:paraId="216CB2A0">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tcBorders>
              <w:top w:val="single" w:color="auto" w:sz="4" w:space="0"/>
              <w:bottom w:val="single" w:color="auto" w:sz="4" w:space="0"/>
            </w:tcBorders>
            <w:vAlign w:val="center"/>
          </w:tcPr>
          <w:p w14:paraId="620D7B0A">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dD</w:t>
            </w:r>
          </w:p>
        </w:tc>
        <w:tc>
          <w:tcPr>
            <w:tcW w:w="0" w:type="auto"/>
            <w:tcBorders>
              <w:top w:val="single" w:color="auto" w:sz="4" w:space="0"/>
              <w:bottom w:val="single" w:color="auto" w:sz="4" w:space="0"/>
            </w:tcBorders>
            <w:vAlign w:val="center"/>
          </w:tcPr>
          <w:p w14:paraId="3A36237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4.83±0.56</w:t>
            </w:r>
            <w:r>
              <w:rPr>
                <w:rFonts w:ascii="Times New Roman" w:hAnsi="Times New Roman" w:eastAsia="Times New Roman" w:cs="Times New Roman"/>
                <w:b/>
                <w:bCs/>
                <w:color w:val="000000"/>
                <w:sz w:val="24"/>
                <w:szCs w:val="24"/>
                <w:vertAlign w:val="superscript"/>
              </w:rPr>
              <w:t>eC</w:t>
            </w:r>
          </w:p>
        </w:tc>
        <w:tc>
          <w:tcPr>
            <w:tcW w:w="0" w:type="auto"/>
            <w:tcBorders>
              <w:top w:val="single" w:color="auto" w:sz="4" w:space="0"/>
              <w:bottom w:val="single" w:color="auto" w:sz="4" w:space="0"/>
            </w:tcBorders>
            <w:vAlign w:val="center"/>
          </w:tcPr>
          <w:p w14:paraId="49FAAD1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25.42±2.05</w:t>
            </w:r>
            <w:r>
              <w:rPr>
                <w:rFonts w:ascii="Times New Roman" w:hAnsi="Times New Roman" w:eastAsia="Times New Roman" w:cs="Times New Roman"/>
                <w:b/>
                <w:bCs/>
                <w:color w:val="000000"/>
                <w:sz w:val="24"/>
                <w:szCs w:val="24"/>
                <w:vertAlign w:val="superscript"/>
              </w:rPr>
              <w:t>dB</w:t>
            </w:r>
          </w:p>
        </w:tc>
        <w:tc>
          <w:tcPr>
            <w:tcW w:w="0" w:type="auto"/>
            <w:tcBorders>
              <w:top w:val="single" w:color="auto" w:sz="4" w:space="0"/>
              <w:bottom w:val="single" w:color="auto" w:sz="4" w:space="0"/>
            </w:tcBorders>
            <w:vAlign w:val="center"/>
          </w:tcPr>
          <w:p w14:paraId="30CE718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tcBorders>
            <w:vAlign w:val="center"/>
          </w:tcPr>
          <w:p w14:paraId="7AE5B6F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right w:val="single" w:color="auto" w:sz="12" w:space="0"/>
            </w:tcBorders>
            <w:vAlign w:val="center"/>
          </w:tcPr>
          <w:p w14:paraId="59A8C55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left w:val="single" w:color="auto" w:sz="12" w:space="0"/>
              <w:bottom w:val="single" w:color="auto" w:sz="4" w:space="0"/>
            </w:tcBorders>
            <w:vAlign w:val="center"/>
          </w:tcPr>
          <w:p w14:paraId="3AA6BF6B">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47.18±6.27</w:t>
            </w:r>
            <w:r>
              <w:rPr>
                <w:rFonts w:ascii="Times New Roman" w:hAnsi="Times New Roman" w:eastAsia="Times New Roman" w:cs="Times New Roman"/>
                <w:b/>
                <w:bCs/>
                <w:color w:val="FF0000"/>
                <w:sz w:val="24"/>
                <w:szCs w:val="24"/>
                <w:vertAlign w:val="superscript"/>
              </w:rPr>
              <w:t>c</w:t>
            </w:r>
          </w:p>
        </w:tc>
      </w:tr>
      <w:tr w14:paraId="4130F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right w:val="single" w:color="auto" w:sz="4" w:space="0"/>
            </w:tcBorders>
            <w:vAlign w:val="center"/>
          </w:tcPr>
          <w:p w14:paraId="66CDCC8A">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4" w:space="0"/>
              <w:right w:val="single" w:color="auto" w:sz="12" w:space="0"/>
            </w:tcBorders>
            <w:vAlign w:val="center"/>
          </w:tcPr>
          <w:p w14:paraId="002CA7F2">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FP</w:t>
            </w:r>
          </w:p>
        </w:tc>
        <w:tc>
          <w:tcPr>
            <w:tcW w:w="0" w:type="auto"/>
            <w:tcBorders>
              <w:top w:val="single" w:color="auto" w:sz="4" w:space="0"/>
              <w:left w:val="single" w:color="auto" w:sz="12" w:space="0"/>
              <w:bottom w:val="single" w:color="auto" w:sz="4" w:space="0"/>
            </w:tcBorders>
            <w:vAlign w:val="center"/>
          </w:tcPr>
          <w:p w14:paraId="4C33B246">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aD</w:t>
            </w:r>
          </w:p>
        </w:tc>
        <w:tc>
          <w:tcPr>
            <w:tcW w:w="0" w:type="auto"/>
            <w:tcBorders>
              <w:top w:val="single" w:color="auto" w:sz="4" w:space="0"/>
              <w:bottom w:val="single" w:color="auto" w:sz="4" w:space="0"/>
            </w:tcBorders>
            <w:vAlign w:val="center"/>
          </w:tcPr>
          <w:p w14:paraId="764B0C95">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0±0</w:t>
            </w:r>
            <w:r>
              <w:rPr>
                <w:rFonts w:ascii="Times New Roman" w:hAnsi="Times New Roman" w:eastAsia="Times New Roman" w:cs="Times New Roman"/>
                <w:b/>
                <w:bCs/>
                <w:color w:val="000000"/>
                <w:sz w:val="24"/>
                <w:szCs w:val="24"/>
                <w:vertAlign w:val="superscript"/>
              </w:rPr>
              <w:t>dD</w:t>
            </w:r>
          </w:p>
        </w:tc>
        <w:tc>
          <w:tcPr>
            <w:tcW w:w="0" w:type="auto"/>
            <w:tcBorders>
              <w:top w:val="single" w:color="auto" w:sz="4" w:space="0"/>
              <w:bottom w:val="single" w:color="auto" w:sz="4" w:space="0"/>
            </w:tcBorders>
            <w:vAlign w:val="center"/>
          </w:tcPr>
          <w:p w14:paraId="382EA099">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14.08±1.24</w:t>
            </w:r>
            <w:r>
              <w:rPr>
                <w:rFonts w:ascii="Times New Roman" w:hAnsi="Times New Roman" w:eastAsia="Times New Roman" w:cs="Times New Roman"/>
                <w:b/>
                <w:bCs/>
                <w:color w:val="000000"/>
                <w:sz w:val="24"/>
                <w:szCs w:val="24"/>
                <w:vertAlign w:val="superscript"/>
              </w:rPr>
              <w:t>dC</w:t>
            </w:r>
          </w:p>
        </w:tc>
        <w:tc>
          <w:tcPr>
            <w:tcW w:w="0" w:type="auto"/>
            <w:tcBorders>
              <w:top w:val="single" w:color="auto" w:sz="4" w:space="0"/>
              <w:bottom w:val="single" w:color="auto" w:sz="4" w:space="0"/>
            </w:tcBorders>
            <w:vAlign w:val="center"/>
          </w:tcPr>
          <w:p w14:paraId="6FD3D9C8">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24.96±1.62</w:t>
            </w:r>
            <w:r>
              <w:rPr>
                <w:rFonts w:ascii="Times New Roman" w:hAnsi="Times New Roman" w:eastAsia="Times New Roman" w:cs="Times New Roman"/>
                <w:b/>
                <w:bCs/>
                <w:color w:val="000000"/>
                <w:sz w:val="24"/>
                <w:szCs w:val="24"/>
                <w:vertAlign w:val="superscript"/>
              </w:rPr>
              <w:t>dB</w:t>
            </w:r>
          </w:p>
        </w:tc>
        <w:tc>
          <w:tcPr>
            <w:tcW w:w="0" w:type="auto"/>
            <w:tcBorders>
              <w:top w:val="single" w:color="auto" w:sz="4" w:space="0"/>
              <w:bottom w:val="single" w:color="auto" w:sz="4" w:space="0"/>
            </w:tcBorders>
            <w:vAlign w:val="center"/>
          </w:tcPr>
          <w:p w14:paraId="2D56C372">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tcBorders>
            <w:vAlign w:val="center"/>
          </w:tcPr>
          <w:p w14:paraId="7494B491">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bottom w:val="single" w:color="auto" w:sz="4" w:space="0"/>
              <w:right w:val="single" w:color="auto" w:sz="12" w:space="0"/>
            </w:tcBorders>
            <w:vAlign w:val="center"/>
          </w:tcPr>
          <w:p w14:paraId="07E01BCF">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100±0</w:t>
            </w:r>
            <w:r>
              <w:rPr>
                <w:rFonts w:ascii="Times New Roman" w:hAnsi="Times New Roman" w:eastAsia="Times New Roman" w:cs="Times New Roman"/>
                <w:b/>
                <w:bCs/>
                <w:color w:val="000000"/>
                <w:sz w:val="24"/>
                <w:szCs w:val="24"/>
                <w:vertAlign w:val="superscript"/>
              </w:rPr>
              <w:t>aA</w:t>
            </w:r>
          </w:p>
        </w:tc>
        <w:tc>
          <w:tcPr>
            <w:tcW w:w="0" w:type="auto"/>
            <w:tcBorders>
              <w:top w:val="single" w:color="auto" w:sz="4" w:space="0"/>
              <w:left w:val="single" w:color="auto" w:sz="12" w:space="0"/>
              <w:bottom w:val="single" w:color="auto" w:sz="4" w:space="0"/>
            </w:tcBorders>
            <w:vAlign w:val="center"/>
          </w:tcPr>
          <w:p w14:paraId="3B9794B7">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48.43±6.12</w:t>
            </w:r>
            <w:r>
              <w:rPr>
                <w:rFonts w:ascii="Times New Roman" w:hAnsi="Times New Roman" w:eastAsia="Times New Roman" w:cs="Times New Roman"/>
                <w:b/>
                <w:bCs/>
                <w:color w:val="FF0000"/>
                <w:sz w:val="24"/>
                <w:szCs w:val="24"/>
                <w:vertAlign w:val="superscript"/>
              </w:rPr>
              <w:t>c</w:t>
            </w:r>
          </w:p>
        </w:tc>
      </w:tr>
      <w:tr w14:paraId="0688B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bottom w:val="single" w:color="auto" w:sz="12" w:space="0"/>
              <w:right w:val="single" w:color="auto" w:sz="4" w:space="0"/>
            </w:tcBorders>
            <w:vAlign w:val="center"/>
          </w:tcPr>
          <w:p w14:paraId="0DE7C5AF">
            <w:pPr>
              <w:spacing w:after="0" w:line="240" w:lineRule="auto"/>
              <w:jc w:val="center"/>
              <w:rPr>
                <w:rFonts w:ascii="Times New Roman" w:hAnsi="Times New Roman" w:eastAsia="Times New Roman" w:cs="Times New Roman"/>
                <w:b/>
                <w:bCs/>
                <w:sz w:val="24"/>
                <w:szCs w:val="24"/>
                <w:lang w:bidi="ar-EG"/>
              </w:rPr>
            </w:pPr>
          </w:p>
        </w:tc>
        <w:tc>
          <w:tcPr>
            <w:tcW w:w="0" w:type="auto"/>
            <w:tcBorders>
              <w:top w:val="single" w:color="auto" w:sz="4" w:space="0"/>
              <w:left w:val="single" w:color="auto" w:sz="4" w:space="0"/>
              <w:bottom w:val="single" w:color="auto" w:sz="12" w:space="0"/>
              <w:right w:val="single" w:color="auto" w:sz="12" w:space="0"/>
            </w:tcBorders>
            <w:vAlign w:val="center"/>
          </w:tcPr>
          <w:p w14:paraId="0F978D44">
            <w:pPr>
              <w:spacing w:after="0" w:line="240" w:lineRule="auto"/>
              <w:jc w:val="center"/>
              <w:rPr>
                <w:rFonts w:ascii="Times New Roman" w:hAnsi="Times New Roman" w:eastAsia="Times New Roman" w:cs="Times New Roman"/>
                <w:b/>
                <w:bCs/>
                <w:sz w:val="24"/>
                <w:szCs w:val="24"/>
                <w:lang w:bidi="ar-EG"/>
              </w:rPr>
            </w:pPr>
            <w:r>
              <w:rPr>
                <w:rFonts w:ascii="Times New Roman" w:hAnsi="Times New Roman" w:eastAsia="Times New Roman" w:cs="Times New Roman"/>
                <w:b/>
                <w:bCs/>
                <w:sz w:val="24"/>
                <w:szCs w:val="24"/>
                <w:lang w:bidi="ar-EG"/>
              </w:rPr>
              <w:t>Mean</w:t>
            </w:r>
          </w:p>
        </w:tc>
        <w:tc>
          <w:tcPr>
            <w:tcW w:w="0" w:type="auto"/>
            <w:tcBorders>
              <w:top w:val="single" w:color="auto" w:sz="4" w:space="0"/>
              <w:left w:val="single" w:color="auto" w:sz="12" w:space="0"/>
              <w:bottom w:val="single" w:color="auto" w:sz="12" w:space="0"/>
            </w:tcBorders>
            <w:vAlign w:val="center"/>
          </w:tcPr>
          <w:p w14:paraId="44131024">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0±0</w:t>
            </w:r>
            <w:r>
              <w:rPr>
                <w:rFonts w:ascii="Times New Roman" w:hAnsi="Times New Roman" w:eastAsia="Times New Roman" w:cs="Times New Roman"/>
                <w:b/>
                <w:bCs/>
                <w:color w:val="FF0000"/>
                <w:sz w:val="24"/>
                <w:szCs w:val="24"/>
                <w:vertAlign w:val="superscript"/>
              </w:rPr>
              <w:t>E</w:t>
            </w:r>
          </w:p>
        </w:tc>
        <w:tc>
          <w:tcPr>
            <w:tcW w:w="0" w:type="auto"/>
            <w:tcBorders>
              <w:top w:val="single" w:color="auto" w:sz="4" w:space="0"/>
              <w:bottom w:val="single" w:color="auto" w:sz="12" w:space="0"/>
            </w:tcBorders>
            <w:vAlign w:val="center"/>
          </w:tcPr>
          <w:p w14:paraId="2A5F15E3">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14.36±2.49</w:t>
            </w:r>
            <w:r>
              <w:rPr>
                <w:rFonts w:ascii="Times New Roman" w:hAnsi="Times New Roman" w:eastAsia="Times New Roman" w:cs="Times New Roman"/>
                <w:b/>
                <w:bCs/>
                <w:color w:val="FF0000"/>
                <w:sz w:val="24"/>
                <w:szCs w:val="24"/>
                <w:vertAlign w:val="superscript"/>
              </w:rPr>
              <w:t>D</w:t>
            </w:r>
          </w:p>
        </w:tc>
        <w:tc>
          <w:tcPr>
            <w:tcW w:w="0" w:type="auto"/>
            <w:tcBorders>
              <w:top w:val="single" w:color="auto" w:sz="4" w:space="0"/>
              <w:bottom w:val="single" w:color="auto" w:sz="12" w:space="0"/>
            </w:tcBorders>
            <w:vAlign w:val="center"/>
          </w:tcPr>
          <w:p w14:paraId="1CD77305">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25.79±3.13</w:t>
            </w:r>
            <w:r>
              <w:rPr>
                <w:rFonts w:ascii="Times New Roman" w:hAnsi="Times New Roman" w:eastAsia="Times New Roman" w:cs="Times New Roman"/>
                <w:b/>
                <w:bCs/>
                <w:color w:val="FF0000"/>
                <w:sz w:val="24"/>
                <w:szCs w:val="24"/>
                <w:vertAlign w:val="superscript"/>
              </w:rPr>
              <w:t>C</w:t>
            </w:r>
          </w:p>
        </w:tc>
        <w:tc>
          <w:tcPr>
            <w:tcW w:w="0" w:type="auto"/>
            <w:tcBorders>
              <w:top w:val="single" w:color="auto" w:sz="4" w:space="0"/>
              <w:bottom w:val="single" w:color="auto" w:sz="12" w:space="0"/>
            </w:tcBorders>
            <w:vAlign w:val="center"/>
          </w:tcPr>
          <w:p w14:paraId="10643A3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40.21±3.66</w:t>
            </w:r>
            <w:r>
              <w:rPr>
                <w:rFonts w:ascii="Times New Roman" w:hAnsi="Times New Roman" w:eastAsia="Times New Roman" w:cs="Times New Roman"/>
                <w:b/>
                <w:bCs/>
                <w:color w:val="FF0000"/>
                <w:sz w:val="24"/>
                <w:szCs w:val="24"/>
                <w:vertAlign w:val="superscript"/>
              </w:rPr>
              <w:t>B</w:t>
            </w:r>
          </w:p>
        </w:tc>
        <w:tc>
          <w:tcPr>
            <w:tcW w:w="0" w:type="auto"/>
            <w:tcBorders>
              <w:top w:val="single" w:color="auto" w:sz="4" w:space="0"/>
              <w:bottom w:val="single" w:color="auto" w:sz="12" w:space="0"/>
            </w:tcBorders>
            <w:vAlign w:val="center"/>
          </w:tcPr>
          <w:p w14:paraId="701A410B">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top w:val="single" w:color="auto" w:sz="4" w:space="0"/>
              <w:bottom w:val="single" w:color="auto" w:sz="12" w:space="0"/>
            </w:tcBorders>
            <w:vAlign w:val="center"/>
          </w:tcPr>
          <w:p w14:paraId="3A3E46DF">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top w:val="single" w:color="auto" w:sz="4" w:space="0"/>
              <w:bottom w:val="single" w:color="auto" w:sz="12" w:space="0"/>
              <w:right w:val="single" w:color="auto" w:sz="12" w:space="0"/>
            </w:tcBorders>
            <w:vAlign w:val="center"/>
          </w:tcPr>
          <w:p w14:paraId="0231A6D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100±0</w:t>
            </w:r>
            <w:r>
              <w:rPr>
                <w:rFonts w:ascii="Times New Roman" w:hAnsi="Times New Roman" w:eastAsia="Times New Roman" w:cs="Times New Roman"/>
                <w:b/>
                <w:bCs/>
                <w:color w:val="FF0000"/>
                <w:sz w:val="24"/>
                <w:szCs w:val="24"/>
                <w:vertAlign w:val="superscript"/>
              </w:rPr>
              <w:t>A</w:t>
            </w:r>
          </w:p>
        </w:tc>
        <w:tc>
          <w:tcPr>
            <w:tcW w:w="0" w:type="auto"/>
            <w:tcBorders>
              <w:top w:val="single" w:color="auto" w:sz="4" w:space="0"/>
              <w:left w:val="single" w:color="auto" w:sz="12" w:space="0"/>
              <w:bottom w:val="single" w:color="auto" w:sz="12" w:space="0"/>
            </w:tcBorders>
            <w:shd w:val="clear" w:color="auto" w:fill="00FFFF"/>
            <w:vAlign w:val="center"/>
          </w:tcPr>
          <w:p w14:paraId="45DB3B8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55.55±2.45</w:t>
            </w:r>
          </w:p>
        </w:tc>
      </w:tr>
    </w:tbl>
    <w:p w14:paraId="46DC006B">
      <w:pPr>
        <w:spacing w:after="0" w:line="240" w:lineRule="auto"/>
        <w:rPr>
          <w:rFonts w:ascii="Times New Roman" w:hAnsi="Times New Roman" w:eastAsia="Times New Roman" w:cs="Times New Roman"/>
          <w:b/>
          <w:bCs/>
          <w:sz w:val="24"/>
          <w:szCs w:val="24"/>
          <w:lang w:bidi="ar-EG"/>
        </w:rPr>
      </w:pPr>
    </w:p>
    <w:tbl>
      <w:tblPr>
        <w:tblStyle w:val="7"/>
        <w:tblW w:w="8040" w:type="dxa"/>
        <w:tblInd w:w="108" w:type="dxa"/>
        <w:tblLayout w:type="autofit"/>
        <w:tblCellMar>
          <w:top w:w="0" w:type="dxa"/>
          <w:left w:w="108" w:type="dxa"/>
          <w:bottom w:w="0" w:type="dxa"/>
          <w:right w:w="108" w:type="dxa"/>
        </w:tblCellMar>
      </w:tblPr>
      <w:tblGrid>
        <w:gridCol w:w="2160"/>
        <w:gridCol w:w="2760"/>
        <w:gridCol w:w="3120"/>
      </w:tblGrid>
      <w:tr w14:paraId="3E4B5D57">
        <w:tblPrEx>
          <w:tblCellMar>
            <w:top w:w="0" w:type="dxa"/>
            <w:left w:w="108" w:type="dxa"/>
            <w:bottom w:w="0" w:type="dxa"/>
            <w:right w:w="108" w:type="dxa"/>
          </w:tblCellMar>
        </w:tblPrEx>
        <w:trPr>
          <w:trHeight w:val="480" w:hRule="atLeast"/>
        </w:trPr>
        <w:tc>
          <w:tcPr>
            <w:tcW w:w="2160" w:type="dxa"/>
            <w:tcBorders>
              <w:top w:val="nil"/>
              <w:left w:val="nil"/>
              <w:bottom w:val="nil"/>
              <w:right w:val="nil"/>
            </w:tcBorders>
            <w:shd w:val="clear" w:color="auto" w:fill="auto"/>
            <w:noWrap/>
            <w:vAlign w:val="center"/>
          </w:tcPr>
          <w:p w14:paraId="0108E5F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LSD at 0.05 for:</w:t>
            </w:r>
          </w:p>
        </w:tc>
        <w:tc>
          <w:tcPr>
            <w:tcW w:w="2760" w:type="dxa"/>
            <w:tcBorders>
              <w:top w:val="nil"/>
              <w:left w:val="nil"/>
              <w:bottom w:val="nil"/>
              <w:right w:val="nil"/>
            </w:tcBorders>
            <w:shd w:val="clear" w:color="auto" w:fill="auto"/>
            <w:noWrap/>
            <w:vAlign w:val="center"/>
          </w:tcPr>
          <w:p w14:paraId="4D69CC3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i/>
                <w:iCs/>
                <w:sz w:val="24"/>
                <w:szCs w:val="24"/>
                <w:lang w:eastAsia="ar-SA" w:bidi="ar-EG"/>
              </w:rPr>
              <w:t>Meloidogyne incognit</w:t>
            </w:r>
          </w:p>
        </w:tc>
        <w:tc>
          <w:tcPr>
            <w:tcW w:w="3120" w:type="dxa"/>
            <w:tcBorders>
              <w:top w:val="nil"/>
              <w:left w:val="nil"/>
              <w:bottom w:val="nil"/>
              <w:right w:val="nil"/>
            </w:tcBorders>
            <w:shd w:val="clear" w:color="auto" w:fill="auto"/>
            <w:noWrap/>
            <w:vAlign w:val="center"/>
          </w:tcPr>
          <w:p w14:paraId="6ECCB512">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i/>
                <w:iCs/>
                <w:kern w:val="2"/>
                <w:sz w:val="24"/>
                <w:szCs w:val="24"/>
                <w:lang w:val="en-GB" w:eastAsia="ar-SA"/>
              </w:rPr>
              <w:t>Tylenchulus semipenetran</w:t>
            </w:r>
            <w:r>
              <w:rPr>
                <w:rFonts w:ascii="Times New Roman" w:hAnsi="Times New Roman" w:eastAsia="Times New Roman" w:cs="Times New Roman"/>
                <w:b/>
                <w:bCs/>
                <w:sz w:val="24"/>
                <w:szCs w:val="24"/>
                <w:lang w:val="en-GB" w:eastAsia="ar-SA" w:bidi="ar-EG"/>
              </w:rPr>
              <w:t>s</w:t>
            </w:r>
          </w:p>
        </w:tc>
      </w:tr>
      <w:tr w14:paraId="4063B37C">
        <w:tblPrEx>
          <w:tblCellMar>
            <w:top w:w="0" w:type="dxa"/>
            <w:left w:w="108" w:type="dxa"/>
            <w:bottom w:w="0" w:type="dxa"/>
            <w:right w:w="108" w:type="dxa"/>
          </w:tblCellMar>
        </w:tblPrEx>
        <w:trPr>
          <w:trHeight w:val="300" w:hRule="atLeast"/>
        </w:trPr>
        <w:tc>
          <w:tcPr>
            <w:tcW w:w="2160" w:type="dxa"/>
            <w:tcBorders>
              <w:top w:val="nil"/>
              <w:left w:val="nil"/>
              <w:bottom w:val="nil"/>
              <w:right w:val="nil"/>
            </w:tcBorders>
            <w:shd w:val="clear" w:color="auto" w:fill="auto"/>
            <w:noWrap/>
            <w:vAlign w:val="center"/>
          </w:tcPr>
          <w:p w14:paraId="6C48985D">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LSDT</w:t>
            </w:r>
          </w:p>
        </w:tc>
        <w:tc>
          <w:tcPr>
            <w:tcW w:w="2760" w:type="dxa"/>
            <w:tcBorders>
              <w:top w:val="nil"/>
              <w:left w:val="nil"/>
              <w:bottom w:val="nil"/>
              <w:right w:val="nil"/>
            </w:tcBorders>
            <w:shd w:val="clear" w:color="auto" w:fill="auto"/>
            <w:noWrap/>
            <w:vAlign w:val="center"/>
          </w:tcPr>
          <w:p w14:paraId="380A05B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1.97</w:t>
            </w:r>
          </w:p>
        </w:tc>
        <w:tc>
          <w:tcPr>
            <w:tcW w:w="3120" w:type="dxa"/>
            <w:tcBorders>
              <w:top w:val="nil"/>
              <w:left w:val="nil"/>
              <w:bottom w:val="nil"/>
              <w:right w:val="nil"/>
            </w:tcBorders>
            <w:shd w:val="clear" w:color="auto" w:fill="auto"/>
            <w:noWrap/>
            <w:vAlign w:val="center"/>
          </w:tcPr>
          <w:p w14:paraId="738B41A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1.31</w:t>
            </w:r>
          </w:p>
        </w:tc>
      </w:tr>
      <w:tr w14:paraId="0FB4795E">
        <w:tblPrEx>
          <w:tblCellMar>
            <w:top w:w="0" w:type="dxa"/>
            <w:left w:w="108" w:type="dxa"/>
            <w:bottom w:w="0" w:type="dxa"/>
            <w:right w:w="108" w:type="dxa"/>
          </w:tblCellMar>
        </w:tblPrEx>
        <w:trPr>
          <w:trHeight w:val="300" w:hRule="atLeast"/>
        </w:trPr>
        <w:tc>
          <w:tcPr>
            <w:tcW w:w="2160" w:type="dxa"/>
            <w:tcBorders>
              <w:top w:val="nil"/>
              <w:left w:val="nil"/>
              <w:bottom w:val="nil"/>
              <w:right w:val="nil"/>
            </w:tcBorders>
            <w:shd w:val="clear" w:color="auto" w:fill="auto"/>
            <w:noWrap/>
            <w:vAlign w:val="center"/>
          </w:tcPr>
          <w:p w14:paraId="4BE97EE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LSDP</w:t>
            </w:r>
          </w:p>
        </w:tc>
        <w:tc>
          <w:tcPr>
            <w:tcW w:w="2760" w:type="dxa"/>
            <w:tcBorders>
              <w:top w:val="nil"/>
              <w:left w:val="nil"/>
              <w:bottom w:val="nil"/>
              <w:right w:val="nil"/>
            </w:tcBorders>
            <w:shd w:val="clear" w:color="auto" w:fill="auto"/>
            <w:noWrap/>
            <w:vAlign w:val="center"/>
          </w:tcPr>
          <w:p w14:paraId="57B5479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2.13</w:t>
            </w:r>
          </w:p>
        </w:tc>
        <w:tc>
          <w:tcPr>
            <w:tcW w:w="3120" w:type="dxa"/>
            <w:tcBorders>
              <w:top w:val="nil"/>
              <w:left w:val="nil"/>
              <w:bottom w:val="nil"/>
              <w:right w:val="nil"/>
            </w:tcBorders>
            <w:shd w:val="clear" w:color="auto" w:fill="auto"/>
            <w:noWrap/>
            <w:vAlign w:val="center"/>
          </w:tcPr>
          <w:p w14:paraId="608955F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1.42</w:t>
            </w:r>
          </w:p>
        </w:tc>
      </w:tr>
      <w:tr w14:paraId="1B50F4CD">
        <w:tblPrEx>
          <w:tblCellMar>
            <w:top w:w="0" w:type="dxa"/>
            <w:left w:w="108" w:type="dxa"/>
            <w:bottom w:w="0" w:type="dxa"/>
            <w:right w:w="108" w:type="dxa"/>
          </w:tblCellMar>
        </w:tblPrEx>
        <w:trPr>
          <w:trHeight w:val="300" w:hRule="atLeast"/>
        </w:trPr>
        <w:tc>
          <w:tcPr>
            <w:tcW w:w="2160" w:type="dxa"/>
            <w:tcBorders>
              <w:top w:val="nil"/>
              <w:left w:val="nil"/>
              <w:bottom w:val="nil"/>
              <w:right w:val="nil"/>
            </w:tcBorders>
            <w:shd w:val="clear" w:color="auto" w:fill="auto"/>
            <w:noWrap/>
            <w:vAlign w:val="center"/>
          </w:tcPr>
          <w:p w14:paraId="19A0D64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LSDTP</w:t>
            </w:r>
          </w:p>
        </w:tc>
        <w:tc>
          <w:tcPr>
            <w:tcW w:w="2760" w:type="dxa"/>
            <w:tcBorders>
              <w:top w:val="nil"/>
              <w:left w:val="nil"/>
              <w:bottom w:val="nil"/>
              <w:right w:val="nil"/>
            </w:tcBorders>
            <w:shd w:val="clear" w:color="auto" w:fill="auto"/>
            <w:noWrap/>
            <w:vAlign w:val="center"/>
          </w:tcPr>
          <w:p w14:paraId="4A4A28E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5.22</w:t>
            </w:r>
          </w:p>
        </w:tc>
        <w:tc>
          <w:tcPr>
            <w:tcW w:w="3120" w:type="dxa"/>
            <w:tcBorders>
              <w:top w:val="nil"/>
              <w:left w:val="nil"/>
              <w:bottom w:val="nil"/>
              <w:right w:val="nil"/>
            </w:tcBorders>
            <w:shd w:val="clear" w:color="auto" w:fill="auto"/>
            <w:noWrap/>
            <w:vAlign w:val="center"/>
          </w:tcPr>
          <w:p w14:paraId="1A110DF3">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3.47</w:t>
            </w:r>
          </w:p>
        </w:tc>
      </w:tr>
    </w:tbl>
    <w:p w14:paraId="6CF48AEF">
      <w:pPr>
        <w:pStyle w:val="18"/>
        <w:spacing w:before="0" w:after="0" w:line="240" w:lineRule="auto"/>
        <w:rPr>
          <w:rFonts w:asciiTheme="minorHAnsi" w:hAnsiTheme="minorHAnsi" w:eastAsiaTheme="minorHAnsi" w:cstheme="minorBidi"/>
          <w:b w:val="0"/>
          <w:bCs w:val="0"/>
          <w:color w:val="auto"/>
          <w:sz w:val="22"/>
          <w:szCs w:val="22"/>
          <w:lang w:val="en-US" w:eastAsia="en-US"/>
        </w:rPr>
      </w:pPr>
    </w:p>
    <w:p w14:paraId="6A52C8BE">
      <w:pPr>
        <w:pStyle w:val="18"/>
        <w:spacing w:before="0" w:after="0" w:line="240" w:lineRule="auto"/>
        <w:rPr>
          <w:rFonts w:asciiTheme="minorHAnsi" w:hAnsiTheme="minorHAnsi" w:eastAsiaTheme="minorHAnsi" w:cstheme="minorBidi"/>
          <w:b w:val="0"/>
          <w:bCs w:val="0"/>
          <w:color w:val="auto"/>
          <w:sz w:val="22"/>
          <w:szCs w:val="22"/>
          <w:lang w:val="en-US" w:eastAsia="en-US"/>
        </w:rPr>
      </w:pPr>
      <w:r>
        <w:rPr>
          <w:rFonts w:ascii="Times New Roman" w:hAnsi="Times New Roman" w:eastAsia="Calibri" w:cs="Times New Roman"/>
          <w:b w:val="0"/>
          <w:bCs w:val="0"/>
          <w:color w:val="auto"/>
          <w:lang w:val="en-US" w:eastAsia="en-US"/>
        </w:rPr>
        <w:drawing>
          <wp:inline distT="0" distB="0" distL="0" distR="0">
            <wp:extent cx="6343650" cy="263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357044" cy="2640814"/>
                    </a:xfrm>
                    <a:prstGeom prst="rect">
                      <a:avLst/>
                    </a:prstGeom>
                    <a:noFill/>
                    <a:ln>
                      <a:noFill/>
                    </a:ln>
                  </pic:spPr>
                </pic:pic>
              </a:graphicData>
            </a:graphic>
          </wp:inline>
        </w:drawing>
      </w:r>
    </w:p>
    <w:p w14:paraId="04EC1757">
      <w:pPr>
        <w:pStyle w:val="18"/>
        <w:spacing w:before="0" w:after="0" w:line="240" w:lineRule="auto"/>
        <w:rPr>
          <w:sz w:val="20"/>
          <w:szCs w:val="20"/>
          <w:lang w:val="en-US"/>
        </w:rPr>
        <w:sectPr>
          <w:type w:val="continuous"/>
          <w:pgSz w:w="11906" w:h="16838"/>
          <w:pgMar w:top="1440" w:right="1106" w:bottom="1440" w:left="1080" w:header="720" w:footer="720" w:gutter="0"/>
          <w:cols w:space="720" w:num="1"/>
          <w:docGrid w:linePitch="360" w:charSpace="0"/>
        </w:sectPr>
      </w:pPr>
    </w:p>
    <w:p w14:paraId="30307A1E">
      <w:pPr>
        <w:pStyle w:val="18"/>
        <w:jc w:val="center"/>
        <w:rPr>
          <w:rFonts w:ascii="Times New Roman" w:hAnsi="Times New Roman" w:eastAsia="Calibri" w:cs="Times New Roman"/>
        </w:rPr>
      </w:pPr>
      <w:r>
        <w:rPr>
          <w:rFonts w:ascii="Times New Roman" w:hAnsi="Times New Roman" w:eastAsia="Calibri" w:cs="Times New Roman"/>
        </w:rPr>
        <w:t>Figure (14): Impact of tested furfural</w:t>
      </w:r>
      <w:r>
        <w:rPr>
          <w:rFonts w:ascii="Times New Roman" w:hAnsi="Times New Roman" w:eastAsia="Calibri" w:cs="Times New Roman"/>
          <w:u w:val="single"/>
        </w:rPr>
        <w:t xml:space="preserve"> </w:t>
      </w:r>
      <w:r>
        <w:rPr>
          <w:rFonts w:ascii="Times New Roman" w:hAnsi="Times New Roman" w:eastAsia="Calibri" w:cs="Times New Roman"/>
        </w:rPr>
        <w:t xml:space="preserve">derivatives at concentration of  0.375% on Juveniles mortality% of </w:t>
      </w:r>
      <w:r>
        <w:rPr>
          <w:rFonts w:ascii="Times New Roman" w:hAnsi="Times New Roman" w:eastAsia="Calibri" w:cs="Times New Roman"/>
          <w:i/>
          <w:iCs/>
        </w:rPr>
        <w:t>Meloidogyne incognita</w:t>
      </w:r>
      <w:r>
        <w:rPr>
          <w:rFonts w:ascii="Times New Roman" w:hAnsi="Times New Roman" w:eastAsia="Calibri" w:cs="Times New Roman"/>
        </w:rPr>
        <w:t>.</w:t>
      </w:r>
    </w:p>
    <w:p w14:paraId="23883857">
      <w:pPr>
        <w:pStyle w:val="18"/>
        <w:spacing w:before="0" w:after="0" w:line="240" w:lineRule="auto"/>
        <w:rPr>
          <w:sz w:val="20"/>
          <w:szCs w:val="20"/>
        </w:rPr>
      </w:pPr>
    </w:p>
    <w:p w14:paraId="29F7FA59">
      <w:pPr>
        <w:pStyle w:val="18"/>
        <w:spacing w:before="0" w:after="0" w:line="240" w:lineRule="auto"/>
        <w:rPr>
          <w:sz w:val="20"/>
          <w:szCs w:val="20"/>
          <w:lang w:val="en-US"/>
        </w:rPr>
      </w:pPr>
    </w:p>
    <w:p w14:paraId="7A4DCD40">
      <w:pPr>
        <w:pStyle w:val="18"/>
        <w:spacing w:before="0" w:after="0" w:line="240" w:lineRule="auto"/>
        <w:rPr>
          <w:sz w:val="20"/>
          <w:szCs w:val="20"/>
          <w:lang w:val="en-US"/>
        </w:rPr>
      </w:pPr>
      <w:r>
        <w:rPr>
          <w:rFonts w:ascii="Times New Roman" w:hAnsi="Times New Roman" w:eastAsia="Calibri" w:cs="Times New Roman"/>
          <w:b w:val="0"/>
          <w:bCs w:val="0"/>
          <w:color w:val="auto"/>
          <w:lang w:val="en-US" w:eastAsia="en-US"/>
        </w:rPr>
        <w:drawing>
          <wp:inline distT="0" distB="0" distL="0" distR="0">
            <wp:extent cx="6343650" cy="2457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342989" cy="2457194"/>
                    </a:xfrm>
                    <a:prstGeom prst="rect">
                      <a:avLst/>
                    </a:prstGeom>
                    <a:noFill/>
                    <a:ln>
                      <a:noFill/>
                    </a:ln>
                  </pic:spPr>
                </pic:pic>
              </a:graphicData>
            </a:graphic>
          </wp:inline>
        </w:drawing>
      </w:r>
    </w:p>
    <w:p w14:paraId="15C808AA">
      <w:pPr>
        <w:pStyle w:val="18"/>
        <w:spacing w:before="0" w:after="0" w:line="240" w:lineRule="auto"/>
        <w:rPr>
          <w:sz w:val="20"/>
          <w:szCs w:val="20"/>
          <w:lang w:val="en-US"/>
        </w:rPr>
      </w:pPr>
    </w:p>
    <w:p w14:paraId="34C3F735">
      <w:pPr>
        <w:pStyle w:val="18"/>
        <w:jc w:val="center"/>
        <w:rPr>
          <w:sz w:val="20"/>
          <w:szCs w:val="20"/>
        </w:rPr>
      </w:pPr>
      <w:r>
        <w:rPr>
          <w:sz w:val="20"/>
          <w:szCs w:val="20"/>
        </w:rPr>
        <w:t>Figure (15): Impact of tested furfural</w:t>
      </w:r>
      <w:r>
        <w:rPr>
          <w:sz w:val="20"/>
          <w:szCs w:val="20"/>
          <w:u w:val="single"/>
        </w:rPr>
        <w:t xml:space="preserve"> </w:t>
      </w:r>
      <w:r>
        <w:rPr>
          <w:sz w:val="20"/>
          <w:szCs w:val="20"/>
        </w:rPr>
        <w:t xml:space="preserve">derivatives at concentration of  0.375% on Juveniles mortality% of </w:t>
      </w:r>
      <w:r>
        <w:rPr>
          <w:i/>
          <w:iCs/>
          <w:sz w:val="20"/>
          <w:szCs w:val="20"/>
        </w:rPr>
        <w:t xml:space="preserve"> Tylenchulus semipenetran</w:t>
      </w:r>
      <w:r>
        <w:rPr>
          <w:sz w:val="20"/>
          <w:szCs w:val="20"/>
        </w:rPr>
        <w:t>s.</w:t>
      </w:r>
    </w:p>
    <w:p w14:paraId="6202F731">
      <w:pPr>
        <w:pStyle w:val="18"/>
        <w:spacing w:before="0" w:after="0" w:line="240" w:lineRule="auto"/>
        <w:rPr>
          <w:sz w:val="20"/>
          <w:szCs w:val="20"/>
        </w:rPr>
      </w:pPr>
    </w:p>
    <w:p w14:paraId="26D202AC">
      <w:pPr>
        <w:pStyle w:val="18"/>
        <w:spacing w:before="0" w:after="0" w:line="240" w:lineRule="auto"/>
        <w:rPr>
          <w:sz w:val="20"/>
          <w:szCs w:val="20"/>
          <w:lang w:val="en-US"/>
        </w:rPr>
      </w:pPr>
    </w:p>
    <w:p w14:paraId="61BD3B3A">
      <w:pPr>
        <w:pStyle w:val="18"/>
        <w:spacing w:before="0" w:after="0" w:line="240" w:lineRule="auto"/>
        <w:rPr>
          <w:sz w:val="20"/>
          <w:szCs w:val="20"/>
          <w:lang w:val="en-US"/>
        </w:rPr>
      </w:pPr>
    </w:p>
    <w:p w14:paraId="441E0CA8">
      <w:pPr>
        <w:pStyle w:val="18"/>
        <w:spacing w:before="0" w:after="0" w:line="240" w:lineRule="auto"/>
        <w:rPr>
          <w:sz w:val="20"/>
          <w:szCs w:val="20"/>
          <w:lang w:val="en-US"/>
        </w:rPr>
      </w:pPr>
    </w:p>
    <w:p w14:paraId="4D7FE983">
      <w:pPr>
        <w:pStyle w:val="18"/>
        <w:spacing w:before="0" w:after="0" w:line="240" w:lineRule="auto"/>
        <w:rPr>
          <w:sz w:val="20"/>
          <w:szCs w:val="20"/>
          <w:lang w:val="en-US"/>
        </w:rPr>
        <w:sectPr>
          <w:type w:val="continuous"/>
          <w:pgSz w:w="11906" w:h="16838"/>
          <w:pgMar w:top="1440" w:right="1106" w:bottom="1440" w:left="1080" w:header="720" w:footer="720" w:gutter="0"/>
          <w:cols w:space="720" w:num="1"/>
          <w:docGrid w:linePitch="360" w:charSpace="0"/>
        </w:sectPr>
      </w:pPr>
    </w:p>
    <w:p w14:paraId="434C2F69">
      <w:pPr>
        <w:pStyle w:val="18"/>
        <w:spacing w:before="0" w:after="0" w:line="240" w:lineRule="auto"/>
        <w:rPr>
          <w:sz w:val="20"/>
          <w:szCs w:val="20"/>
          <w:lang w:val="en-US"/>
        </w:rPr>
      </w:pPr>
      <w:r>
        <w:rPr>
          <w:sz w:val="20"/>
          <w:szCs w:val="20"/>
          <w:lang w:val="en-US"/>
        </w:rPr>
        <w:t>4. Discussion</w:t>
      </w:r>
    </w:p>
    <w:p w14:paraId="5162D4F6">
      <w:pPr>
        <w:pStyle w:val="15"/>
        <w:ind w:firstLine="360"/>
        <w:rPr>
          <w:sz w:val="20"/>
          <w:szCs w:val="20"/>
          <w:lang w:val="en-US"/>
        </w:rPr>
      </w:pPr>
      <w:r>
        <w:rPr>
          <w:sz w:val="20"/>
          <w:szCs w:val="20"/>
          <w:lang w:val="en-US"/>
        </w:rPr>
        <w:t>For many years, chemical nematicides such as methyl bromide, metam sodium, and chloropicrin have been widely used to manage plant-parasitic nematodes and other soil-borne pathogens. However, the harmful environmental and health effects of these chemicals have raised significant concerns. These nematicides are known to contaminate agricultural ecosystems—polluting the soil, air, and water—while disrupting the balance of beneficial microflora and microfauna. They can also interfere with plant nutrient uptake and negatively affect non-target organisms, including bees and humans.</w:t>
      </w:r>
    </w:p>
    <w:p w14:paraId="69D1AABD">
      <w:pPr>
        <w:pStyle w:val="15"/>
        <w:ind w:firstLine="360"/>
        <w:rPr>
          <w:sz w:val="20"/>
          <w:szCs w:val="20"/>
          <w:lang w:val="en-US"/>
        </w:rPr>
      </w:pPr>
      <w:r>
        <w:rPr>
          <w:sz w:val="20"/>
          <w:szCs w:val="20"/>
          <w:lang w:val="en-US"/>
        </w:rPr>
        <w:t xml:space="preserve">  As a result of these adverse impacts and increasing regulatory restrictions, there is an urgent need to develop alternative, environmentally friendly strategies for managing soil-borne pests and diseases. Recent efforts have focused on eco-friendly approaches such as biocontrol agents, cultural practices, and the use of green chemicals derived from natural sources.</w:t>
      </w:r>
    </w:p>
    <w:p w14:paraId="6E6EBE37">
      <w:pPr>
        <w:pStyle w:val="15"/>
        <w:ind w:firstLine="360"/>
        <w:rPr>
          <w:sz w:val="20"/>
          <w:szCs w:val="20"/>
          <w:lang w:val="en-US"/>
        </w:rPr>
      </w:pPr>
      <w:r>
        <w:rPr>
          <w:sz w:val="20"/>
          <w:szCs w:val="20"/>
          <w:lang w:val="en-US" w:eastAsia="en-US"/>
        </w:rPr>
        <mc:AlternateContent>
          <mc:Choice Requires="wps">
            <w:drawing>
              <wp:anchor distT="0" distB="0" distL="114300" distR="114300" simplePos="0" relativeHeight="251676672" behindDoc="0" locked="0" layoutInCell="1" allowOverlap="1">
                <wp:simplePos x="0" y="0"/>
                <wp:positionH relativeFrom="column">
                  <wp:posOffset>3632200</wp:posOffset>
                </wp:positionH>
                <wp:positionV relativeFrom="paragraph">
                  <wp:posOffset>1322070</wp:posOffset>
                </wp:positionV>
                <wp:extent cx="4064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40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6pt;margin-top:104.1pt;height:0pt;width:32pt;z-index:251676672;mso-width-relative:page;mso-height-relative:page;" filled="f" stroked="t" coordsize="21600,21600" o:gfxdata="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kmPWvZAAAACwEAAA8AAAAAAAAA&#10;AQAgAAAAIgAAAGRycy9kb3ducmV2LnhtbFBLAQIUABQAAAAIAIdO4kCIbCVC1wEAALUDAAAOAAAA&#10;AAAAAAEAIAAAACgBAABkcnMvZTJvRG9jLnhtbFBLBQYAAAAABgAGAFkBAABxBQAAAAA=&#10;">
                <v:fill on="f" focussize="0,0"/>
                <v:stroke weight="0.5pt" color="#4472C4 [3204]" miterlimit="8" joinstyle="miter"/>
                <v:imagedata o:title=""/>
                <o:lock v:ext="edit" aspectratio="f"/>
              </v:line>
            </w:pict>
          </mc:Fallback>
        </mc:AlternateContent>
      </w:r>
      <w:r>
        <w:rPr>
          <w:sz w:val="20"/>
          <w:szCs w:val="20"/>
          <w:lang w:val="en-US"/>
        </w:rPr>
        <w:t xml:space="preserve">   Furfural (2-furancarboxaldehyde) is a naturally occurring aromatic aldehyde found in some essential oils of plants. It is industrially produced from organic agricultural residues [20] </w:t>
      </w:r>
    </w:p>
    <w:p w14:paraId="4EDFF75C">
      <w:pPr>
        <w:pStyle w:val="15"/>
        <w:ind w:firstLine="360"/>
        <w:rPr>
          <w:sz w:val="20"/>
          <w:szCs w:val="20"/>
          <w:lang w:val="en-US"/>
        </w:rPr>
      </w:pPr>
      <w:r>
        <w:rPr>
          <w:sz w:val="20"/>
          <w:szCs w:val="20"/>
          <w:lang w:val="en-US"/>
        </w:rPr>
        <w:t>Furfural also is a promising contact nematicide [21] with degrading and destruction ability on nematode cuticle [16, 22, 23].</w:t>
      </w:r>
    </w:p>
    <w:p w14:paraId="266BBCDE">
      <w:pPr>
        <w:pStyle w:val="15"/>
        <w:ind w:firstLine="360"/>
        <w:rPr>
          <w:sz w:val="20"/>
          <w:szCs w:val="20"/>
          <w:lang w:val="en-US"/>
        </w:rPr>
      </w:pPr>
      <w:r>
        <w:rPr>
          <w:sz w:val="20"/>
          <w:szCs w:val="20"/>
          <w:lang w:val="en-US"/>
        </w:rPr>
        <w:t xml:space="preserve">Furfural has emerged as a promising candidate in this context. It is a bio-based compound that is inexpensive, readily biodegradable by soil microorganisms, and relatively safe for humans and plants.  </w:t>
      </w:r>
      <w:r>
        <w:rPr>
          <w:b/>
          <w:bCs/>
          <w:sz w:val="20"/>
          <w:szCs w:val="20"/>
          <w:lang w:val="en-US"/>
        </w:rPr>
        <w:t>[8]</w:t>
      </w:r>
      <w:r>
        <w:rPr>
          <w:sz w:val="20"/>
          <w:szCs w:val="20"/>
          <w:lang w:val="en-US"/>
        </w:rPr>
        <w:t xml:space="preserve">  identified furfural as a potential replacement for banned Class I nematicides. Although foundational knowledge about its effects on economically significant nematodes is still limited, </w:t>
      </w:r>
      <w:r>
        <w:rPr>
          <w:b/>
          <w:bCs/>
          <w:sz w:val="20"/>
          <w:szCs w:val="20"/>
          <w:lang w:val="en-US"/>
        </w:rPr>
        <w:t>[22]</w:t>
      </w:r>
      <w:r>
        <w:rPr>
          <w:sz w:val="20"/>
          <w:szCs w:val="20"/>
          <w:lang w:val="en-US"/>
        </w:rPr>
        <w:t xml:space="preserve"> proposed that furfural disrupts the nematode cuticle. </w:t>
      </w:r>
    </w:p>
    <w:p w14:paraId="11B26D8D">
      <w:pPr>
        <w:pStyle w:val="15"/>
        <w:ind w:firstLine="360"/>
        <w:rPr>
          <w:sz w:val="20"/>
          <w:szCs w:val="20"/>
          <w:lang w:val="en-US"/>
        </w:rPr>
      </w:pPr>
      <w:r>
        <w:rPr>
          <w:b/>
          <w:bCs/>
          <w:sz w:val="20"/>
          <w:szCs w:val="20"/>
          <w:lang w:val="en-US"/>
        </w:rPr>
        <w:t>[23]</w:t>
      </w:r>
      <w:r>
        <w:rPr>
          <w:sz w:val="20"/>
          <w:szCs w:val="20"/>
          <w:lang w:val="en-US"/>
        </w:rPr>
        <w:t xml:space="preserve"> investigated the nematicidal action of Cropguard®, a furfural-based product, on the ultrastructure of </w:t>
      </w:r>
      <w:r>
        <w:rPr>
          <w:i/>
          <w:iCs/>
          <w:sz w:val="20"/>
          <w:szCs w:val="20"/>
          <w:lang w:val="en-US"/>
        </w:rPr>
        <w:t>Meloidogyne incognita</w:t>
      </w:r>
      <w:r>
        <w:rPr>
          <w:sz w:val="20"/>
          <w:szCs w:val="20"/>
          <w:lang w:val="en-US"/>
        </w:rPr>
        <w:t xml:space="preserve"> and </w:t>
      </w:r>
      <w:r>
        <w:rPr>
          <w:i/>
          <w:iCs/>
          <w:sz w:val="20"/>
          <w:szCs w:val="20"/>
          <w:lang w:val="en-US"/>
        </w:rPr>
        <w:t>M. javanica</w:t>
      </w:r>
      <w:r>
        <w:rPr>
          <w:sz w:val="20"/>
          <w:szCs w:val="20"/>
          <w:lang w:val="en-US"/>
        </w:rPr>
        <w:t>. After 96 hours of exposure, J</w:t>
      </w:r>
      <w:r>
        <w:rPr>
          <w:sz w:val="20"/>
          <w:szCs w:val="20"/>
          <w:vertAlign w:val="subscript"/>
          <w:lang w:val="en-US"/>
        </w:rPr>
        <w:t>2</w:t>
      </w:r>
      <w:r>
        <w:rPr>
          <w:sz w:val="20"/>
          <w:szCs w:val="20"/>
          <w:lang w:val="en-US"/>
        </w:rPr>
        <w:t xml:space="preserve"> juveniles appeared sunken with more defined transverse striations, though the cuticle remained structurally intact.</w:t>
      </w:r>
    </w:p>
    <w:p w14:paraId="0FFCD059">
      <w:pPr>
        <w:pStyle w:val="15"/>
        <w:spacing w:after="0" w:line="240" w:lineRule="auto"/>
        <w:ind w:firstLine="360"/>
        <w:rPr>
          <w:b/>
          <w:bCs/>
          <w:sz w:val="20"/>
          <w:szCs w:val="20"/>
          <w:lang w:val="en-US"/>
        </w:rPr>
      </w:pPr>
      <w:r>
        <w:rPr>
          <w:sz w:val="20"/>
          <w:szCs w:val="20"/>
          <w:lang w:val="en-US"/>
        </w:rPr>
        <w:t>Further studies have shown that furfural exposure leads to morphological deformities in J</w:t>
      </w:r>
      <w:r>
        <w:rPr>
          <w:sz w:val="20"/>
          <w:szCs w:val="20"/>
          <w:vertAlign w:val="subscript"/>
          <w:lang w:val="en-US"/>
        </w:rPr>
        <w:t>2</w:t>
      </w:r>
      <w:r>
        <w:rPr>
          <w:sz w:val="20"/>
          <w:szCs w:val="20"/>
          <w:lang w:val="en-US"/>
        </w:rPr>
        <w:t xml:space="preserve"> larvae, such as shrunken, wrinkled cuticles and body contractions, especially in the head and body regions. This may be due to furfural acting as a solvent that dissolves the lipid layer of the egg shell or cuticle. This disruption increases permeability, resulting in cuticle damage and dehydration. Thus, prolonged exposure is crucial to enhancing furfural’s nematicidal efficacy by maximizing its impact on the cuticle and reducing both J</w:t>
      </w:r>
      <w:r>
        <w:rPr>
          <w:sz w:val="20"/>
          <w:szCs w:val="20"/>
          <w:vertAlign w:val="subscript"/>
          <w:lang w:val="en-US"/>
        </w:rPr>
        <w:t>2</w:t>
      </w:r>
      <w:r>
        <w:rPr>
          <w:sz w:val="20"/>
          <w:szCs w:val="20"/>
          <w:lang w:val="en-US"/>
        </w:rPr>
        <w:t xml:space="preserve"> viability and egg hatchability. </w:t>
      </w:r>
      <w:r>
        <w:rPr>
          <w:b/>
          <w:bCs/>
          <w:sz w:val="20"/>
          <w:szCs w:val="20"/>
          <w:lang w:val="en-US"/>
        </w:rPr>
        <w:t>[8]</w:t>
      </w:r>
    </w:p>
    <w:p w14:paraId="6F84363F">
      <w:pPr>
        <w:pStyle w:val="15"/>
        <w:ind w:firstLine="0"/>
        <w:rPr>
          <w:sz w:val="20"/>
          <w:szCs w:val="20"/>
          <w:lang w:val="en-US"/>
        </w:rPr>
      </w:pPr>
      <w:r>
        <w:rPr>
          <w:sz w:val="20"/>
          <w:szCs w:val="20"/>
          <w:lang w:val="en-US"/>
        </w:rPr>
        <w:t xml:space="preserve">          To date, there are no published studies on the effects of furfural derivatives specifically on J2 mortality of plant-parasitic nematodes. Our study contributes novel insights in this regard. We found that even at very low concentrations, furfural derivatives were highly effective in reducing J</w:t>
      </w:r>
      <w:r>
        <w:rPr>
          <w:sz w:val="20"/>
          <w:szCs w:val="20"/>
          <w:vertAlign w:val="subscript"/>
          <w:lang w:val="en-US"/>
        </w:rPr>
        <w:t>2</w:t>
      </w:r>
      <w:r>
        <w:rPr>
          <w:sz w:val="20"/>
          <w:szCs w:val="20"/>
          <w:lang w:val="en-US"/>
        </w:rPr>
        <w:t xml:space="preserve"> populations of both </w:t>
      </w:r>
      <w:r>
        <w:rPr>
          <w:i/>
          <w:iCs/>
          <w:sz w:val="20"/>
          <w:szCs w:val="20"/>
          <w:lang w:val="en-US"/>
        </w:rPr>
        <w:t>Meloidogyne incognita</w:t>
      </w:r>
      <w:r>
        <w:rPr>
          <w:sz w:val="20"/>
          <w:szCs w:val="20"/>
          <w:lang w:val="en-US"/>
        </w:rPr>
        <w:t xml:space="preserve"> and </w:t>
      </w:r>
      <w:r>
        <w:rPr>
          <w:i/>
          <w:iCs/>
          <w:sz w:val="20"/>
          <w:szCs w:val="20"/>
          <w:lang w:val="en-US"/>
        </w:rPr>
        <w:t>Tylenchulus semipenetrans</w:t>
      </w:r>
      <w:r>
        <w:rPr>
          <w:sz w:val="20"/>
          <w:szCs w:val="20"/>
          <w:lang w:val="en-US"/>
        </w:rPr>
        <w:t xml:space="preserve"> </w:t>
      </w:r>
      <w:r>
        <w:rPr>
          <w:b/>
          <w:bCs/>
          <w:sz w:val="20"/>
          <w:szCs w:val="20"/>
          <w:lang w:val="en-US"/>
        </w:rPr>
        <w:t>(Table 3; Figures 13 and 14),</w:t>
      </w:r>
      <w:r>
        <w:rPr>
          <w:sz w:val="20"/>
          <w:szCs w:val="20"/>
          <w:lang w:val="en-US"/>
        </w:rPr>
        <w:t xml:space="preserve"> in contrast to earlier studies that focused solely on furfural or its formulations.  </w:t>
      </w:r>
    </w:p>
    <w:p w14:paraId="69EED823">
      <w:pPr>
        <w:pStyle w:val="15"/>
        <w:ind w:firstLine="0"/>
        <w:rPr>
          <w:sz w:val="20"/>
          <w:szCs w:val="20"/>
          <w:lang w:val="en-US"/>
        </w:rPr>
      </w:pPr>
      <w:r>
        <w:rPr>
          <w:sz w:val="20"/>
          <w:szCs w:val="20"/>
          <w:lang w:val="en-US"/>
        </w:rPr>
        <w:t xml:space="preserve">       Using in vitro assays, we evaluated six furfural derivatives with potential nematicidal properties. The results clearly showed that all tested concentrations significantly increased J</w:t>
      </w:r>
      <w:r>
        <w:rPr>
          <w:sz w:val="20"/>
          <w:szCs w:val="20"/>
          <w:vertAlign w:val="subscript"/>
          <w:lang w:val="en-US"/>
        </w:rPr>
        <w:t>2</w:t>
      </w:r>
      <w:r>
        <w:rPr>
          <w:sz w:val="20"/>
          <w:szCs w:val="20"/>
          <w:lang w:val="en-US"/>
        </w:rPr>
        <w:t xml:space="preserve"> mortality of both nematode species, particularly within the first 12 hours of exposure. These findings highlight the strong potential of furfural derivatives as bio-nematicides.</w:t>
      </w:r>
    </w:p>
    <w:p w14:paraId="02957F8E">
      <w:pPr>
        <w:pStyle w:val="15"/>
        <w:ind w:firstLine="0"/>
        <w:rPr>
          <w:sz w:val="20"/>
          <w:szCs w:val="20"/>
          <w:lang w:val="en-US"/>
        </w:rPr>
      </w:pPr>
      <w:r>
        <w:rPr>
          <w:sz w:val="20"/>
          <w:szCs w:val="20"/>
          <w:lang w:val="en-US"/>
        </w:rPr>
        <w:t xml:space="preserve">   Further research is necessary to evaluate the effectiveness of these promising compounds under greenhouse and field conditions, as well as to investigate their modes of action at the physiological and molecular levels in plant-parasitic nematodes.</w:t>
      </w:r>
    </w:p>
    <w:p w14:paraId="3C4B246E">
      <w:pPr>
        <w:pStyle w:val="18"/>
        <w:rPr>
          <w:b w:val="0"/>
          <w:bCs w:val="0"/>
          <w:sz w:val="20"/>
          <w:szCs w:val="20"/>
        </w:rPr>
      </w:pPr>
    </w:p>
    <w:p w14:paraId="24EB8114">
      <w:pPr>
        <w:pStyle w:val="18"/>
        <w:spacing w:before="0" w:after="0" w:line="240" w:lineRule="auto"/>
        <w:rPr>
          <w:sz w:val="20"/>
          <w:szCs w:val="20"/>
          <w:lang w:val="en-US"/>
        </w:rPr>
      </w:pPr>
    </w:p>
    <w:p w14:paraId="228DE9F0">
      <w:pPr>
        <w:pStyle w:val="18"/>
        <w:spacing w:before="0" w:after="0" w:line="240" w:lineRule="auto"/>
        <w:rPr>
          <w:sz w:val="20"/>
          <w:szCs w:val="20"/>
          <w:lang w:val="en-US"/>
        </w:rPr>
      </w:pPr>
    </w:p>
    <w:p w14:paraId="41658D4D">
      <w:pPr>
        <w:pStyle w:val="18"/>
        <w:spacing w:before="0" w:after="0" w:line="240" w:lineRule="auto"/>
        <w:rPr>
          <w:sz w:val="20"/>
          <w:szCs w:val="20"/>
          <w:lang w:val="en-US"/>
        </w:rPr>
        <w:sectPr>
          <w:type w:val="continuous"/>
          <w:pgSz w:w="11906" w:h="16838"/>
          <w:pgMar w:top="1440" w:right="1106" w:bottom="1440" w:left="1080" w:header="720" w:footer="720" w:gutter="0"/>
          <w:cols w:space="720" w:num="2"/>
          <w:docGrid w:linePitch="360" w:charSpace="0"/>
        </w:sectPr>
      </w:pPr>
    </w:p>
    <w:p w14:paraId="779432BB">
      <w:pPr>
        <w:autoSpaceDE w:val="0"/>
        <w:autoSpaceDN w:val="0"/>
        <w:adjustRightInd w:val="0"/>
        <w:spacing w:after="0" w:line="240" w:lineRule="auto"/>
        <w:jc w:val="both"/>
        <w:rPr>
          <w:rFonts w:ascii="Times New Roman" w:hAnsi="Times New Roman" w:eastAsia="SimSun" w:cs="Times New Roman"/>
          <w:color w:val="000000"/>
          <w:sz w:val="20"/>
          <w:szCs w:val="20"/>
          <w:lang w:val="en-GB" w:eastAsia="zh-CN"/>
        </w:rPr>
      </w:pPr>
    </w:p>
    <w:p w14:paraId="290E8818">
      <w:pPr>
        <w:pStyle w:val="18"/>
        <w:spacing w:before="0" w:after="0" w:line="240" w:lineRule="auto"/>
        <w:rPr>
          <w:sz w:val="20"/>
          <w:szCs w:val="20"/>
          <w:lang w:val="en-US"/>
        </w:rPr>
      </w:pPr>
      <w:r>
        <w:rPr>
          <w:sz w:val="20"/>
          <w:szCs w:val="20"/>
          <w:lang w:val="en-US"/>
        </w:rPr>
        <w:t>References</w:t>
      </w:r>
    </w:p>
    <w:p w14:paraId="233FE36A">
      <w:pPr>
        <w:autoSpaceDE w:val="0"/>
        <w:autoSpaceDN w:val="0"/>
        <w:adjustRightInd w:val="0"/>
        <w:spacing w:after="0" w:line="240" w:lineRule="auto"/>
        <w:jc w:val="both"/>
        <w:rPr>
          <w:rFonts w:ascii="Times New Roman" w:hAnsi="Times New Roman" w:eastAsia="SimSun" w:cs="Times New Roman"/>
          <w:b/>
          <w:bCs/>
          <w:color w:val="000000"/>
          <w:sz w:val="20"/>
          <w:szCs w:val="20"/>
          <w:lang w:eastAsia="zh-CN"/>
        </w:rPr>
      </w:pPr>
      <w:r>
        <w:rPr>
          <w:rFonts w:ascii="Times New Roman" w:hAnsi="Times New Roman" w:eastAsia="SimSun" w:cs="Times New Roman"/>
          <w:color w:val="000000"/>
          <w:sz w:val="20"/>
          <w:szCs w:val="20"/>
          <w:lang w:val="en-GB" w:eastAsia="zh-CN"/>
        </w:rPr>
        <w:t xml:space="preserve"> [1]  Bernard, G. C., Egnin, M., &amp; Bonsi, C. (2017). The impact of plant-parasitic nematodes on agriculture and methods of control. In </w:t>
      </w:r>
      <w:r>
        <w:rPr>
          <w:rFonts w:ascii="Times New Roman" w:hAnsi="Times New Roman" w:eastAsia="SimSun" w:cs="Times New Roman"/>
          <w:i/>
          <w:iCs/>
          <w:color w:val="000000"/>
          <w:sz w:val="20"/>
          <w:szCs w:val="20"/>
          <w:lang w:val="en-GB" w:eastAsia="zh-CN"/>
        </w:rPr>
        <w:t>Nematology-concepts, diagnosis and control</w:t>
      </w:r>
      <w:r>
        <w:rPr>
          <w:rFonts w:ascii="Times New Roman" w:hAnsi="Times New Roman" w:eastAsia="SimSun" w:cs="Times New Roman"/>
          <w:color w:val="000000"/>
          <w:sz w:val="20"/>
          <w:szCs w:val="20"/>
          <w:lang w:val="en-GB" w:eastAsia="zh-CN"/>
        </w:rPr>
        <w:t>. IntechOpen.</w:t>
      </w:r>
      <w:r>
        <w:rPr>
          <w:rFonts w:ascii="Times New Roman" w:hAnsi="Times New Roman" w:eastAsia="SimSun" w:cs="Times New Roman"/>
          <w:color w:val="000000"/>
          <w:sz w:val="20"/>
          <w:szCs w:val="20"/>
          <w:rtl/>
          <w:lang w:val="en-GB" w:eastAsia="zh-CN"/>
        </w:rPr>
        <w:t>‏</w:t>
      </w:r>
      <w:r>
        <w:rPr>
          <w:rFonts w:ascii="Times New Roman" w:hAnsi="Times New Roman" w:eastAsia="SimSun" w:cs="Times New Roman"/>
          <w:color w:val="000000"/>
          <w:sz w:val="20"/>
          <w:szCs w:val="20"/>
          <w:lang w:val="en-GB" w:eastAsia="zh-CN"/>
        </w:rPr>
        <w:t>. 2(34),978-953.</w:t>
      </w:r>
    </w:p>
    <w:p w14:paraId="65042CE7">
      <w:pPr>
        <w:autoSpaceDE w:val="0"/>
        <w:autoSpaceDN w:val="0"/>
        <w:adjustRightInd w:val="0"/>
        <w:spacing w:after="0" w:line="240" w:lineRule="auto"/>
        <w:jc w:val="both"/>
        <w:rPr>
          <w:rFonts w:ascii="Times New Roman" w:hAnsi="Times New Roman" w:eastAsia="SimSun" w:cs="Times New Roman"/>
          <w:b/>
          <w:bCs/>
          <w:color w:val="000000"/>
          <w:sz w:val="20"/>
          <w:szCs w:val="20"/>
          <w:lang w:val="en-GB" w:eastAsia="zh-CN"/>
        </w:rPr>
      </w:pPr>
      <w:r>
        <w:rPr>
          <w:rFonts w:ascii="Times New Roman" w:hAnsi="Times New Roman" w:eastAsia="SimSun" w:cs="Times New Roman"/>
          <w:color w:val="000000"/>
          <w:sz w:val="20"/>
          <w:szCs w:val="20"/>
          <w:lang w:val="en-GB" w:eastAsia="zh-CN"/>
        </w:rPr>
        <w:t>[2]Trudgill, D. L., and Blok, V. C. (2001). Apomictic, polyphagous root-knot nematodes: exceptionally successful and damaging biotrophic root pathogens. </w:t>
      </w:r>
      <w:r>
        <w:rPr>
          <w:rFonts w:ascii="Times New Roman" w:hAnsi="Times New Roman" w:eastAsia="SimSun" w:cs="Times New Roman"/>
          <w:i/>
          <w:iCs/>
          <w:color w:val="000000"/>
          <w:sz w:val="20"/>
          <w:szCs w:val="20"/>
          <w:lang w:val="en-GB" w:eastAsia="zh-CN"/>
        </w:rPr>
        <w:t>Annual review of phytopathology</w:t>
      </w:r>
      <w:r>
        <w:rPr>
          <w:rFonts w:ascii="Times New Roman" w:hAnsi="Times New Roman" w:eastAsia="SimSun" w:cs="Times New Roman"/>
          <w:color w:val="000000"/>
          <w:sz w:val="20"/>
          <w:szCs w:val="20"/>
          <w:lang w:val="en-GB" w:eastAsia="zh-CN"/>
        </w:rPr>
        <w:t>, 39(1), 53-77.</w:t>
      </w:r>
    </w:p>
    <w:p w14:paraId="3EA81568">
      <w:pPr>
        <w:autoSpaceDE w:val="0"/>
        <w:autoSpaceDN w:val="0"/>
        <w:adjustRightInd w:val="0"/>
        <w:spacing w:after="0" w:line="240" w:lineRule="auto"/>
        <w:jc w:val="both"/>
        <w:rPr>
          <w:rFonts w:ascii="Times New Roman" w:hAnsi="Times New Roman" w:eastAsia="SimSun" w:cs="Times New Roman"/>
          <w:b/>
          <w:bCs/>
          <w:color w:val="000000"/>
          <w:sz w:val="20"/>
          <w:szCs w:val="20"/>
          <w:rtl/>
          <w:lang w:eastAsia="zh-CN"/>
        </w:rPr>
      </w:pPr>
      <w:r>
        <w:rPr>
          <w:rFonts w:ascii="Times New Roman" w:hAnsi="Times New Roman" w:eastAsia="SimSun" w:cs="Times New Roman"/>
          <w:color w:val="000000"/>
          <w:sz w:val="20"/>
          <w:szCs w:val="20"/>
          <w:lang w:val="en-GB" w:eastAsia="zh-CN"/>
        </w:rPr>
        <w:t>[3]  Pires, D., Vicente, C. S., Menéndez, E., Faria, J. M., Rusinque, L., Camacho, M. J., &amp; Inácio, M. L. (2022). The fight against plant-parasitic nematodes: Current status of bacterial and fungal biocontrol agents. </w:t>
      </w:r>
      <w:r>
        <w:rPr>
          <w:rFonts w:ascii="Times New Roman" w:hAnsi="Times New Roman" w:eastAsia="SimSun" w:cs="Times New Roman"/>
          <w:i/>
          <w:iCs/>
          <w:color w:val="000000"/>
          <w:sz w:val="20"/>
          <w:szCs w:val="20"/>
          <w:lang w:val="en-GB" w:eastAsia="zh-CN"/>
        </w:rPr>
        <w:t>Pathogens</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11</w:t>
      </w:r>
      <w:r>
        <w:rPr>
          <w:rFonts w:ascii="Times New Roman" w:hAnsi="Times New Roman" w:eastAsia="SimSun" w:cs="Times New Roman"/>
          <w:color w:val="000000"/>
          <w:sz w:val="20"/>
          <w:szCs w:val="20"/>
          <w:lang w:val="en-GB" w:eastAsia="zh-CN"/>
        </w:rPr>
        <w:t>(10), 1178.</w:t>
      </w:r>
      <w:r>
        <w:rPr>
          <w:rFonts w:ascii="Times New Roman" w:hAnsi="Times New Roman" w:eastAsia="SimSun" w:cs="Times New Roman"/>
          <w:color w:val="000000"/>
          <w:sz w:val="20"/>
          <w:szCs w:val="20"/>
          <w:rtl/>
          <w:lang w:val="en-GB" w:eastAsia="zh-CN"/>
        </w:rPr>
        <w:t>‏</w:t>
      </w:r>
    </w:p>
    <w:p w14:paraId="40C90028">
      <w:pPr>
        <w:autoSpaceDE w:val="0"/>
        <w:autoSpaceDN w:val="0"/>
        <w:adjustRightInd w:val="0"/>
        <w:spacing w:before="240" w:after="240" w:line="276"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[4]  Zoubi, B., Mokrini, F., Rafya, M., Benkebboura, A., Akachoud, O., Ghoulam, C., ... &amp; Qaddoury, A. (2024). Citrus rootstocks vs. nematodes: A battle for resistance against Tylenchulus semipenetrans. </w:t>
      </w:r>
      <w:r>
        <w:rPr>
          <w:rFonts w:ascii="Times New Roman" w:hAnsi="Times New Roman" w:eastAsia="SimSun" w:cs="Times New Roman"/>
          <w:i/>
          <w:iCs/>
          <w:color w:val="000000"/>
          <w:sz w:val="20"/>
          <w:szCs w:val="20"/>
          <w:lang w:val="en-GB" w:eastAsia="zh-CN"/>
        </w:rPr>
        <w:t>Scientia Horticulturae</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331</w:t>
      </w:r>
      <w:r>
        <w:rPr>
          <w:rFonts w:ascii="Times New Roman" w:hAnsi="Times New Roman" w:eastAsia="SimSun" w:cs="Times New Roman"/>
          <w:color w:val="000000"/>
          <w:sz w:val="20"/>
          <w:szCs w:val="20"/>
          <w:lang w:val="en-GB" w:eastAsia="zh-CN"/>
        </w:rPr>
        <w:t>, 113115.</w:t>
      </w:r>
    </w:p>
    <w:p w14:paraId="7A17D2F9">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[5] Atolani, O., &amp; Fabiyi, O. A. (2020). Plant parasitic nematodes management through natural products: current progress and challenges. </w:t>
      </w:r>
      <w:r>
        <w:rPr>
          <w:rFonts w:ascii="Times New Roman" w:hAnsi="Times New Roman" w:eastAsia="SimSun" w:cs="Times New Roman"/>
          <w:i/>
          <w:iCs/>
          <w:color w:val="000000"/>
          <w:sz w:val="20"/>
          <w:szCs w:val="20"/>
          <w:lang w:val="en-GB" w:eastAsia="zh-CN"/>
        </w:rPr>
        <w:t>Management of phytonematodes: recent advances and future challenges</w:t>
      </w:r>
      <w:r>
        <w:rPr>
          <w:rFonts w:ascii="Times New Roman" w:hAnsi="Times New Roman" w:eastAsia="SimSun" w:cs="Times New Roman"/>
          <w:color w:val="000000"/>
          <w:sz w:val="20"/>
          <w:szCs w:val="20"/>
          <w:lang w:val="en-GB" w:eastAsia="zh-CN"/>
        </w:rPr>
        <w:t>, 297-315.</w:t>
      </w:r>
    </w:p>
    <w:p w14:paraId="7F058F7E">
      <w:pPr>
        <w:autoSpaceDE w:val="0"/>
        <w:autoSpaceDN w:val="0"/>
        <w:adjustRightInd w:val="0"/>
        <w:spacing w:before="240" w:after="0" w:line="240" w:lineRule="auto"/>
        <w:jc w:val="both"/>
        <w:rPr>
          <w:rFonts w:ascii="Times New Roman" w:hAnsi="Times New Roman" w:eastAsia="SimSun" w:cs="Times New Roman"/>
          <w:color w:val="000000"/>
          <w:sz w:val="20"/>
          <w:szCs w:val="20"/>
          <w:rtl/>
          <w:lang w:val="en-GB" w:eastAsia="zh-CN" w:bidi="ar-EG"/>
        </w:rPr>
      </w:pPr>
      <w:r>
        <w:rPr>
          <w:rFonts w:ascii="Times New Roman" w:hAnsi="Times New Roman" w:eastAsia="SimSun" w:cs="Times New Roman"/>
          <w:color w:val="000000"/>
          <w:sz w:val="20"/>
          <w:szCs w:val="20"/>
          <w:rtl/>
          <w:lang w:val="en-GB" w:eastAsia="zh-CN"/>
        </w:rPr>
        <w:t>‏</w:t>
      </w:r>
      <w:r>
        <w:rPr>
          <w:rFonts w:ascii="Times New Roman" w:hAnsi="Times New Roman" w:eastAsia="SimSun" w:cs="Times New Roman"/>
          <w:color w:val="000000"/>
          <w:sz w:val="20"/>
          <w:szCs w:val="20"/>
          <w:lang w:val="en-GB" w:eastAsia="zh-CN"/>
        </w:rPr>
        <w:t xml:space="preserve">  [6] Chen, J., Li, Q. X., &amp; Song, B. (2020). Chemical nematicides: Recent research progress and outlook. </w:t>
      </w:r>
      <w:r>
        <w:rPr>
          <w:rFonts w:ascii="Times New Roman" w:hAnsi="Times New Roman" w:eastAsia="SimSun" w:cs="Times New Roman"/>
          <w:i/>
          <w:iCs/>
          <w:color w:val="000000"/>
          <w:sz w:val="20"/>
          <w:szCs w:val="20"/>
          <w:lang w:val="en-GB" w:eastAsia="zh-CN"/>
        </w:rPr>
        <w:t>Journal of Agricultural and Food Chemistry</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68</w:t>
      </w:r>
      <w:r>
        <w:rPr>
          <w:rFonts w:ascii="Times New Roman" w:hAnsi="Times New Roman" w:eastAsia="SimSun" w:cs="Times New Roman"/>
          <w:color w:val="000000"/>
          <w:sz w:val="20"/>
          <w:szCs w:val="20"/>
          <w:lang w:val="en-GB" w:eastAsia="zh-CN"/>
        </w:rPr>
        <w:t>(44), 12175-12188.</w:t>
      </w:r>
      <w:r>
        <w:rPr>
          <w:rFonts w:ascii="Times New Roman" w:hAnsi="Times New Roman" w:eastAsia="SimSun" w:cs="Times New Roman"/>
          <w:color w:val="000000"/>
          <w:sz w:val="20"/>
          <w:szCs w:val="20"/>
          <w:rtl/>
          <w:lang w:val="en-GB" w:eastAsia="zh-CN"/>
        </w:rPr>
        <w:t>‏</w:t>
      </w:r>
    </w:p>
    <w:p w14:paraId="135ECA7D">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[7] Sharma, A., Kumar, V., Shahzad, B., Tanveer, M., Sidhu, G. P. S., Handa, N., and Thukral, A. K. (2019). Worldwide pesticide usage and its impacts on ecosystem. </w:t>
      </w:r>
      <w:r>
        <w:rPr>
          <w:rFonts w:ascii="Times New Roman" w:hAnsi="Times New Roman" w:eastAsia="SimSun" w:cs="Times New Roman"/>
          <w:i/>
          <w:iCs/>
          <w:color w:val="000000"/>
          <w:sz w:val="20"/>
          <w:szCs w:val="20"/>
          <w:lang w:val="en-GB" w:eastAsia="zh-CN"/>
        </w:rPr>
        <w:t>SN Applied Sciences</w:t>
      </w:r>
      <w:r>
        <w:rPr>
          <w:rFonts w:ascii="Times New Roman" w:hAnsi="Times New Roman" w:eastAsia="SimSun" w:cs="Times New Roman"/>
          <w:color w:val="000000"/>
          <w:sz w:val="20"/>
          <w:szCs w:val="20"/>
          <w:lang w:val="en-GB" w:eastAsia="zh-CN"/>
        </w:rPr>
        <w:t>, 1, 1-16.</w:t>
      </w:r>
      <w:r>
        <w:rPr>
          <w:rFonts w:ascii="Times New Roman" w:hAnsi="Times New Roman" w:eastAsia="SimSun" w:cs="Times New Roman"/>
          <w:color w:val="000000"/>
          <w:sz w:val="20"/>
          <w:szCs w:val="20"/>
          <w:rtl/>
          <w:lang w:val="en-GB" w:eastAsia="zh-CN"/>
        </w:rPr>
        <w:t>‏</w:t>
      </w:r>
    </w:p>
    <w:p w14:paraId="368ADEAC">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[8] Abdelnabby, H., Wang, Y., Xiao, X., Wang, G., Yang, F., and Xiao, Y. (2016). Impact of direct and indirect application of rising furfural concentrations on viability, infectivity and reproduction of the root-knot nematode, </w:t>
      </w:r>
      <w:r>
        <w:rPr>
          <w:rFonts w:ascii="Times New Roman" w:hAnsi="Times New Roman" w:eastAsia="SimSun" w:cs="Times New Roman"/>
          <w:i/>
          <w:iCs/>
          <w:color w:val="000000"/>
          <w:sz w:val="20"/>
          <w:szCs w:val="20"/>
          <w:lang w:val="en-GB" w:eastAsia="zh-CN"/>
        </w:rPr>
        <w:t>Meloidogyne incognita</w:t>
      </w:r>
      <w:r>
        <w:rPr>
          <w:rFonts w:ascii="Times New Roman" w:hAnsi="Times New Roman" w:eastAsia="SimSun" w:cs="Times New Roman"/>
          <w:color w:val="000000"/>
          <w:sz w:val="20"/>
          <w:szCs w:val="20"/>
          <w:lang w:val="en-GB" w:eastAsia="zh-CN"/>
        </w:rPr>
        <w:t xml:space="preserve"> in Pisum sativum. </w:t>
      </w:r>
      <w:r>
        <w:rPr>
          <w:rFonts w:ascii="Times New Roman" w:hAnsi="Times New Roman" w:eastAsia="SimSun" w:cs="Times New Roman"/>
          <w:i/>
          <w:iCs/>
          <w:color w:val="000000"/>
          <w:sz w:val="20"/>
          <w:szCs w:val="20"/>
          <w:lang w:val="en-GB" w:eastAsia="zh-CN"/>
        </w:rPr>
        <w:t>Microbial Pathogenesis</w:t>
      </w:r>
      <w:r>
        <w:rPr>
          <w:rFonts w:ascii="Times New Roman" w:hAnsi="Times New Roman" w:eastAsia="SimSun" w:cs="Times New Roman"/>
          <w:color w:val="000000"/>
          <w:sz w:val="20"/>
          <w:szCs w:val="20"/>
          <w:lang w:val="en-GB" w:eastAsia="zh-CN"/>
        </w:rPr>
        <w:t>, 96, 26-34.</w:t>
      </w:r>
      <w:r>
        <w:rPr>
          <w:rFonts w:ascii="Times New Roman" w:hAnsi="Times New Roman" w:eastAsia="SimSun" w:cs="Times New Roman"/>
          <w:color w:val="000000"/>
          <w:sz w:val="20"/>
          <w:szCs w:val="20"/>
          <w:rtl/>
          <w:lang w:val="en-GB" w:eastAsia="zh-CN"/>
        </w:rPr>
        <w:t>‏</w:t>
      </w:r>
      <w:r>
        <w:rPr>
          <w:rFonts w:ascii="Times New Roman" w:hAnsi="Times New Roman" w:eastAsia="SimSun" w:cs="Times New Roman"/>
          <w:color w:val="000000"/>
          <w:sz w:val="20"/>
          <w:szCs w:val="20"/>
          <w:lang w:val="en-GB" w:eastAsia="zh-CN"/>
        </w:rPr>
        <w:t xml:space="preserve">  </w:t>
      </w:r>
    </w:p>
    <w:tbl>
      <w:tblPr>
        <w:tblStyle w:val="7"/>
        <w:tblW w:w="6564" w:type="dxa"/>
        <w:tblInd w:w="0" w:type="dxa"/>
        <w:shd w:val="clear" w:color="auto" w:fill="FFFFFF"/>
        <w:tblLayout w:type="autofit"/>
        <w:tblCellMar>
          <w:top w:w="0" w:type="dxa"/>
          <w:left w:w="0" w:type="dxa"/>
          <w:bottom w:w="0" w:type="dxa"/>
          <w:right w:w="0" w:type="dxa"/>
        </w:tblCellMar>
      </w:tblPr>
      <w:tblGrid>
        <w:gridCol w:w="6564"/>
      </w:tblGrid>
      <w:tr w14:paraId="38EC6632">
        <w:tblPrEx>
          <w:shd w:val="clear" w:color="auto" w:fill="FFFFFF"/>
          <w:tblCellMar>
            <w:top w:w="0" w:type="dxa"/>
            <w:left w:w="0" w:type="dxa"/>
            <w:bottom w:w="0" w:type="dxa"/>
            <w:right w:w="0" w:type="dxa"/>
          </w:tblCellMar>
        </w:tblPrEx>
        <w:tc>
          <w:tcPr>
            <w:tcW w:w="0" w:type="auto"/>
            <w:shd w:val="clear" w:color="auto" w:fill="FFFFFF"/>
            <w:tcMar>
              <w:top w:w="120" w:type="dxa"/>
              <w:left w:w="0" w:type="dxa"/>
              <w:bottom w:w="120" w:type="dxa"/>
              <w:right w:w="0" w:type="dxa"/>
            </w:tcMar>
          </w:tcPr>
          <w:p w14:paraId="088D4E58">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[9]   Eseyin, E. A., Rabo, J. J., Amali, S. J., &amp; Dodo, D. J. (2020).Furfural, the Sleeping Beauty: Synthesis, Application as a Nematicide and to Improve the Viscosity Index of Raw Lubricating Oil. Chemistry Research Journal, 5(5):41-50</w:t>
            </w:r>
          </w:p>
          <w:p w14:paraId="08074D59">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[10]  Anthonia, E. E., and Kieran, I. E. (2015). Catalytic fast pyrolysis of Nigerian corn cobs for bio-oil production. </w:t>
            </w:r>
            <w:r>
              <w:rPr>
                <w:rFonts w:ascii="Times New Roman" w:hAnsi="Times New Roman" w:eastAsia="SimSun" w:cs="Times New Roman"/>
                <w:i/>
                <w:iCs/>
                <w:color w:val="000000"/>
                <w:sz w:val="20"/>
                <w:szCs w:val="20"/>
                <w:lang w:val="en-GB" w:eastAsia="zh-CN"/>
              </w:rPr>
              <w:t>International Journal of Science and Technology</w:t>
            </w:r>
            <w:r>
              <w:rPr>
                <w:rFonts w:ascii="Times New Roman" w:hAnsi="Times New Roman" w:eastAsia="SimSun" w:cs="Times New Roman"/>
                <w:color w:val="000000"/>
                <w:sz w:val="20"/>
                <w:szCs w:val="20"/>
                <w:lang w:val="en-GB" w:eastAsia="zh-CN"/>
              </w:rPr>
              <w:t>, 4(11), 498-506.</w:t>
            </w:r>
            <w:r>
              <w:rPr>
                <w:rFonts w:ascii="Times New Roman" w:hAnsi="Times New Roman" w:eastAsia="SimSun" w:cs="Times New Roman"/>
                <w:color w:val="000000"/>
                <w:sz w:val="20"/>
                <w:szCs w:val="20"/>
                <w:rtl/>
                <w:lang w:val="en-GB" w:eastAsia="zh-CN"/>
              </w:rPr>
              <w:t>‏</w:t>
            </w:r>
          </w:p>
          <w:p w14:paraId="149F8EC7">
            <w:pPr>
              <w:autoSpaceDE w:val="0"/>
              <w:autoSpaceDN w:val="0"/>
              <w:adjustRightInd w:val="0"/>
              <w:spacing w:after="0" w:line="240" w:lineRule="auto"/>
              <w:jc w:val="both"/>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eastAsia="zh-CN"/>
              </w:rPr>
              <w:t xml:space="preserve"> </w:t>
            </w:r>
          </w:p>
          <w:p w14:paraId="7A4AB5DB">
            <w:pPr>
              <w:autoSpaceDE w:val="0"/>
              <w:autoSpaceDN w:val="0"/>
              <w:adjustRightInd w:val="0"/>
              <w:spacing w:after="0" w:line="240" w:lineRule="auto"/>
              <w:jc w:val="both"/>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val="en-GB" w:eastAsia="zh-CN"/>
              </w:rPr>
              <w:t xml:space="preserve">   [11]  Gan, P., Zhang, K., Yang, G., Li, J., Zhao, Y., &amp; Chen, J. (2024). Catalytic production and upgrading of furfural: a platform compound. </w:t>
            </w:r>
            <w:r>
              <w:rPr>
                <w:rFonts w:ascii="Times New Roman" w:hAnsi="Times New Roman" w:eastAsia="SimSun" w:cs="Times New Roman"/>
                <w:i/>
                <w:iCs/>
                <w:color w:val="000000"/>
                <w:sz w:val="20"/>
                <w:szCs w:val="20"/>
                <w:lang w:val="en-GB" w:eastAsia="zh-CN"/>
              </w:rPr>
              <w:t>International Journal of Molecular Sciences</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25</w:t>
            </w:r>
            <w:r>
              <w:rPr>
                <w:rFonts w:ascii="Times New Roman" w:hAnsi="Times New Roman" w:eastAsia="SimSun" w:cs="Times New Roman"/>
                <w:color w:val="000000"/>
                <w:sz w:val="20"/>
                <w:szCs w:val="20"/>
                <w:lang w:val="en-GB" w:eastAsia="zh-CN"/>
              </w:rPr>
              <w:t>(22), 11992.</w:t>
            </w:r>
            <w:r>
              <w:rPr>
                <w:rFonts w:ascii="Times New Roman" w:hAnsi="Times New Roman" w:eastAsia="SimSun" w:cs="Times New Roman"/>
                <w:color w:val="000000"/>
                <w:sz w:val="20"/>
                <w:szCs w:val="20"/>
                <w:rtl/>
                <w:lang w:val="en-GB" w:eastAsia="zh-CN"/>
              </w:rPr>
              <w:t>‏</w:t>
            </w:r>
          </w:p>
          <w:p w14:paraId="68CED256">
            <w:pPr>
              <w:pStyle w:val="18"/>
              <w:spacing w:after="0" w:line="240" w:lineRule="auto"/>
              <w:rPr>
                <w:b w:val="0"/>
                <w:bCs w:val="0"/>
                <w:sz w:val="20"/>
                <w:szCs w:val="20"/>
                <w:rtl/>
              </w:rPr>
            </w:pPr>
            <w:r>
              <w:rPr>
                <w:rFonts w:ascii="Times New Roman" w:hAnsi="Times New Roman" w:cs="Times New Roman"/>
                <w:sz w:val="20"/>
                <w:szCs w:val="20"/>
              </w:rPr>
              <w:t>[12]</w:t>
            </w:r>
            <w:r>
              <w:rPr>
                <w:b w:val="0"/>
                <w:bCs w:val="0"/>
                <w:sz w:val="20"/>
                <w:szCs w:val="20"/>
              </w:rPr>
              <w:t xml:space="preserve">    Khalid, M., Ullah, M. A., Adeel, M., Khan, M. U., Tahir, M. N., &amp; Braga, A. A. C. (2019). Synthesis, crystal structure analysis, spectral IR, UV–Vis, NMR assessments, electronic and nonlinear optical properties of potent quinoline based derivatives: Interplay of experimental and DFT study. </w:t>
            </w:r>
            <w:r>
              <w:rPr>
                <w:b w:val="0"/>
                <w:bCs w:val="0"/>
                <w:i/>
                <w:iCs/>
                <w:sz w:val="20"/>
                <w:szCs w:val="20"/>
              </w:rPr>
              <w:t>Journal of Saudi Chemical Society</w:t>
            </w:r>
            <w:r>
              <w:rPr>
                <w:b w:val="0"/>
                <w:bCs w:val="0"/>
                <w:sz w:val="20"/>
                <w:szCs w:val="20"/>
              </w:rPr>
              <w:t>, </w:t>
            </w:r>
            <w:r>
              <w:rPr>
                <w:b w:val="0"/>
                <w:bCs w:val="0"/>
                <w:i/>
                <w:iCs/>
                <w:sz w:val="20"/>
                <w:szCs w:val="20"/>
              </w:rPr>
              <w:t>23</w:t>
            </w:r>
            <w:r>
              <w:rPr>
                <w:b w:val="0"/>
                <w:bCs w:val="0"/>
                <w:sz w:val="20"/>
                <w:szCs w:val="20"/>
              </w:rPr>
              <w:t>(5), 546-560.</w:t>
            </w:r>
            <w:r>
              <w:rPr>
                <w:b w:val="0"/>
                <w:bCs w:val="0"/>
                <w:sz w:val="20"/>
                <w:szCs w:val="20"/>
                <w:rtl/>
              </w:rPr>
              <w:t>‏</w:t>
            </w:r>
          </w:p>
          <w:p w14:paraId="2F7C996A">
            <w:pPr>
              <w:autoSpaceDE w:val="0"/>
              <w:autoSpaceDN w:val="0"/>
              <w:adjustRightInd w:val="0"/>
              <w:spacing w:before="240" w:after="0" w:line="240" w:lineRule="auto"/>
              <w:jc w:val="both"/>
              <w:rPr>
                <w:rFonts w:hint="cs" w:ascii="Times New Roman" w:hAnsi="Times New Roman" w:eastAsia="SimSun" w:cs="Times New Roman"/>
                <w:color w:val="000000"/>
                <w:sz w:val="20"/>
                <w:szCs w:val="20"/>
                <w:rtl/>
                <w:lang w:val="en-GB" w:eastAsia="zh-CN" w:bidi="ar-EG"/>
              </w:rPr>
            </w:pPr>
            <w:r>
              <w:rPr>
                <w:rFonts w:ascii="Times New Roman" w:hAnsi="Times New Roman" w:eastAsia="SimSun" w:cs="Times New Roman"/>
                <w:color w:val="000000"/>
                <w:sz w:val="20"/>
                <w:szCs w:val="20"/>
                <w:lang w:val="en-GB" w:eastAsia="zh-CN"/>
              </w:rPr>
              <w:t>[13]  Ryczkowski, J. (2001). IR spectroscopy in catalysis. </w:t>
            </w:r>
            <w:r>
              <w:rPr>
                <w:rFonts w:ascii="Times New Roman" w:hAnsi="Times New Roman" w:eastAsia="SimSun" w:cs="Times New Roman"/>
                <w:i/>
                <w:iCs/>
                <w:color w:val="000000"/>
                <w:sz w:val="20"/>
                <w:szCs w:val="20"/>
                <w:lang w:val="en-GB" w:eastAsia="zh-CN"/>
              </w:rPr>
              <w:t>Catalysis Today</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68</w:t>
            </w:r>
            <w:r>
              <w:rPr>
                <w:rFonts w:ascii="Times New Roman" w:hAnsi="Times New Roman" w:eastAsia="SimSun" w:cs="Times New Roman"/>
                <w:color w:val="000000"/>
                <w:sz w:val="20"/>
                <w:szCs w:val="20"/>
                <w:lang w:val="en-GB" w:eastAsia="zh-CN"/>
              </w:rPr>
              <w:t>(4), 263-381.</w:t>
            </w:r>
            <w:r>
              <w:rPr>
                <w:rFonts w:hint="cs" w:ascii="Times New Roman" w:hAnsi="Times New Roman" w:eastAsia="SimSun" w:cs="Times New Roman"/>
                <w:color w:val="000000"/>
                <w:sz w:val="20"/>
                <w:szCs w:val="20"/>
                <w:rtl/>
                <w:lang w:val="en-GB" w:eastAsia="zh-CN" w:bidi="ar-EG"/>
              </w:rPr>
              <w:t>\</w:t>
            </w:r>
          </w:p>
          <w:p w14:paraId="7BD6BA59">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rtl/>
                <w:lang w:val="en-GB" w:eastAsia="zh-CN"/>
              </w:rPr>
              <w:t>‏</w:t>
            </w:r>
          </w:p>
          <w:p w14:paraId="13185027">
            <w:pPr>
              <w:pStyle w:val="18"/>
              <w:spacing w:after="0" w:line="240" w:lineRule="auto"/>
              <w:rPr>
                <w:sz w:val="20"/>
                <w:szCs w:val="20"/>
                <w:rtl/>
              </w:rPr>
            </w:pPr>
            <w:r>
              <w:rPr>
                <w:rFonts w:ascii="Times New Roman" w:hAnsi="Times New Roman" w:cs="Times New Roman"/>
                <w:sz w:val="20"/>
                <w:szCs w:val="20"/>
              </w:rPr>
              <w:t>[14]</w:t>
            </w:r>
            <w:r>
              <w:rPr>
                <w:b w:val="0"/>
                <w:bCs w:val="0"/>
                <w:sz w:val="20"/>
                <w:szCs w:val="20"/>
              </w:rPr>
              <w:t xml:space="preserve">    </w:t>
            </w:r>
            <w:r>
              <w:rPr>
                <w:sz w:val="20"/>
                <w:szCs w:val="20"/>
              </w:rPr>
              <w:t xml:space="preserve">  Al-Ani, M. R. W., &amp; AlAsli, N. J. A. (2022)</w:t>
            </w:r>
            <w:r>
              <w:rPr>
                <w:b w:val="0"/>
                <w:bCs w:val="0"/>
                <w:sz w:val="20"/>
                <w:szCs w:val="20"/>
              </w:rPr>
              <w:t xml:space="preserve"> .Preparation and Characterization of New Compounds for Schiff Base Derived From Furfural, Study of Some Physical Applications and Evaluation of Their Biological Activity. </w:t>
            </w:r>
            <w:r>
              <w:rPr>
                <w:b w:val="0"/>
                <w:bCs w:val="0"/>
                <w:i/>
                <w:iCs/>
                <w:sz w:val="20"/>
                <w:szCs w:val="20"/>
              </w:rPr>
              <w:t>International journal of health sciences</w:t>
            </w:r>
            <w:r>
              <w:rPr>
                <w:b w:val="0"/>
                <w:bCs w:val="0"/>
                <w:sz w:val="20"/>
                <w:szCs w:val="20"/>
              </w:rPr>
              <w:t>, </w:t>
            </w:r>
            <w:r>
              <w:rPr>
                <w:b w:val="0"/>
                <w:bCs w:val="0"/>
                <w:i/>
                <w:iCs/>
                <w:sz w:val="20"/>
                <w:szCs w:val="20"/>
              </w:rPr>
              <w:t>6</w:t>
            </w:r>
            <w:r>
              <w:rPr>
                <w:b w:val="0"/>
                <w:bCs w:val="0"/>
                <w:sz w:val="20"/>
                <w:szCs w:val="20"/>
              </w:rPr>
              <w:t>(S4), 4719-4733.</w:t>
            </w:r>
            <w:r>
              <w:rPr>
                <w:b w:val="0"/>
                <w:bCs w:val="0"/>
                <w:sz w:val="20"/>
                <w:szCs w:val="20"/>
                <w:rtl/>
              </w:rPr>
              <w:t>‏</w:t>
            </w:r>
          </w:p>
          <w:p w14:paraId="77B7D6C6">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p>
          <w:p w14:paraId="62B7603D">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[15]  Hammam, M. M. A., Wafaa, M. E. N., &amp; Abd-Elgawad, M. M. M. (2016). Biological and chemical control of the citrus nematode, Tylenchulus semipenetrans (Cobb, 1913) on mandarin in Egypt. </w:t>
            </w:r>
            <w:r>
              <w:rPr>
                <w:rFonts w:ascii="Times New Roman" w:hAnsi="Times New Roman" w:eastAsia="SimSun" w:cs="Times New Roman"/>
                <w:i/>
                <w:iCs/>
                <w:color w:val="000000"/>
                <w:sz w:val="20"/>
                <w:szCs w:val="20"/>
                <w:lang w:val="en-GB" w:eastAsia="zh-CN"/>
              </w:rPr>
              <w:t>Egyptian Journal of Biological Pest Control</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26</w:t>
            </w:r>
            <w:r>
              <w:rPr>
                <w:rFonts w:ascii="Times New Roman" w:hAnsi="Times New Roman" w:eastAsia="SimSun" w:cs="Times New Roman"/>
                <w:color w:val="000000"/>
                <w:sz w:val="20"/>
                <w:szCs w:val="20"/>
                <w:lang w:val="en-GB" w:eastAsia="zh-CN"/>
              </w:rPr>
              <w:t>(2), 345.</w:t>
            </w:r>
            <w:r>
              <w:rPr>
                <w:rFonts w:ascii="Times New Roman" w:hAnsi="Times New Roman" w:eastAsia="SimSun" w:cs="Times New Roman"/>
                <w:color w:val="000000"/>
                <w:sz w:val="20"/>
                <w:szCs w:val="20"/>
                <w:rtl/>
                <w:lang w:val="en-GB" w:eastAsia="zh-CN"/>
              </w:rPr>
              <w:t>‏</w:t>
            </w:r>
          </w:p>
          <w:p w14:paraId="2FF3FD2C">
            <w:pPr>
              <w:autoSpaceDE w:val="0"/>
              <w:autoSpaceDN w:val="0"/>
              <w:adjustRightInd w:val="0"/>
              <w:spacing w:after="0" w:line="240" w:lineRule="auto"/>
              <w:jc w:val="both"/>
              <w:rPr>
                <w:rFonts w:ascii="Times New Roman" w:hAnsi="Times New Roman" w:eastAsia="SimSun" w:cs="Times New Roman"/>
                <w:color w:val="000000"/>
                <w:sz w:val="20"/>
                <w:szCs w:val="20"/>
                <w:lang w:eastAsia="zh-CN"/>
              </w:rPr>
            </w:pPr>
            <w:r>
              <w:rPr>
                <w:rFonts w:ascii="Times New Roman" w:hAnsi="Times New Roman" w:eastAsia="SimSun" w:cs="Times New Roman"/>
                <w:color w:val="000000"/>
                <w:sz w:val="20"/>
                <w:szCs w:val="20"/>
                <w:lang w:val="en-GB" w:eastAsia="zh-CN"/>
              </w:rPr>
              <w:t xml:space="preserve">  </w:t>
            </w:r>
          </w:p>
          <w:p w14:paraId="3E4441DF">
            <w:pPr>
              <w:autoSpaceDE w:val="0"/>
              <w:autoSpaceDN w:val="0"/>
              <w:adjustRightInd w:val="0"/>
              <w:spacing w:after="0" w:line="240" w:lineRule="auto"/>
              <w:jc w:val="both"/>
              <w:rPr>
                <w:rFonts w:ascii="Times New Roman" w:hAnsi="Times New Roman" w:eastAsia="SimSun" w:cs="Times New Roman"/>
                <w:b/>
                <w:bCs/>
                <w:color w:val="000000"/>
                <w:sz w:val="20"/>
                <w:szCs w:val="20"/>
                <w:lang w:eastAsia="zh-CN"/>
              </w:rPr>
            </w:pPr>
            <w:r>
              <w:rPr>
                <w:rFonts w:ascii="Times New Roman" w:hAnsi="Times New Roman" w:eastAsia="SimSun" w:cs="Times New Roman"/>
                <w:color w:val="000000"/>
                <w:sz w:val="20"/>
                <w:szCs w:val="20"/>
                <w:lang w:eastAsia="zh-CN"/>
              </w:rPr>
              <w:t xml:space="preserve">[16] </w:t>
            </w:r>
            <w:r>
              <w:rPr>
                <w:rFonts w:ascii="Times New Roman" w:hAnsi="Times New Roman" w:eastAsia="SimSun" w:cs="Times New Roman"/>
                <w:color w:val="000000"/>
                <w:sz w:val="20"/>
                <w:szCs w:val="20"/>
                <w:lang w:val="de-DE" w:eastAsia="zh-CN"/>
              </w:rPr>
              <w:t xml:space="preserve">Abdelnabby, H., Hu, Z., Wang, H. Wang and Zhang X. (2018) . </w:t>
            </w:r>
            <w:r>
              <w:rPr>
                <w:rFonts w:ascii="Times New Roman" w:hAnsi="Times New Roman" w:eastAsia="SimSun" w:cs="Times New Roman"/>
                <w:color w:val="000000"/>
                <w:sz w:val="20"/>
                <w:szCs w:val="20"/>
                <w:lang w:val="en-GB" w:eastAsia="zh-CN"/>
              </w:rPr>
              <w:t>Furfural–biochar-based formulations show synergistic and potentiating effects against </w:t>
            </w:r>
            <w:r>
              <w:rPr>
                <w:rFonts w:ascii="Times New Roman" w:hAnsi="Times New Roman" w:eastAsia="SimSun" w:cs="Times New Roman"/>
                <w:i/>
                <w:iCs/>
                <w:color w:val="000000"/>
                <w:sz w:val="20"/>
                <w:szCs w:val="20"/>
                <w:lang w:val="en-GB" w:eastAsia="zh-CN"/>
              </w:rPr>
              <w:t>Meloidogyne incognita</w:t>
            </w:r>
            <w:r>
              <w:rPr>
                <w:rFonts w:ascii="Times New Roman" w:hAnsi="Times New Roman" w:eastAsia="SimSun" w:cs="Times New Roman"/>
                <w:color w:val="000000"/>
                <w:sz w:val="20"/>
                <w:szCs w:val="20"/>
                <w:lang w:val="en-GB" w:eastAsia="zh-CN"/>
              </w:rPr>
              <w:t> in tomato. </w:t>
            </w:r>
            <w:r>
              <w:rPr>
                <w:rFonts w:ascii="Times New Roman" w:hAnsi="Times New Roman" w:eastAsia="SimSun" w:cs="Times New Roman"/>
                <w:i/>
                <w:iCs/>
                <w:color w:val="000000"/>
                <w:sz w:val="20"/>
                <w:szCs w:val="20"/>
                <w:lang w:val="en-GB" w:eastAsia="zh-CN"/>
              </w:rPr>
              <w:t>J Pest Sci</w:t>
            </w:r>
            <w:r>
              <w:rPr>
                <w:rFonts w:ascii="Times New Roman" w:hAnsi="Times New Roman" w:eastAsia="SimSun" w:cs="Times New Roman"/>
                <w:color w:val="000000"/>
                <w:sz w:val="20"/>
                <w:szCs w:val="20"/>
                <w:lang w:val="en-GB" w:eastAsia="zh-CN"/>
              </w:rPr>
              <w:t xml:space="preserve"> 91, 203–218.  </w:t>
            </w:r>
            <w:r>
              <w:fldChar w:fldCharType="begin"/>
            </w:r>
            <w:r>
              <w:instrText xml:space="preserve"> HYPERLINK "https://doi.org/10.1007/s10340-017-0872-x" </w:instrText>
            </w:r>
            <w:r>
              <w:fldChar w:fldCharType="separate"/>
            </w:r>
            <w:r>
              <w:rPr>
                <w:rFonts w:ascii="Times New Roman" w:hAnsi="Times New Roman" w:eastAsia="SimSun" w:cs="Times New Roman"/>
                <w:color w:val="0563C1"/>
                <w:sz w:val="20"/>
                <w:szCs w:val="20"/>
                <w:u w:val="single"/>
                <w:lang w:val="en-GB" w:eastAsia="zh-CN"/>
              </w:rPr>
              <w:t>https://doi.org/10.1007/s10340-017-0872-x</w:t>
            </w:r>
            <w:r>
              <w:rPr>
                <w:rFonts w:ascii="Times New Roman" w:hAnsi="Times New Roman" w:eastAsia="SimSun" w:cs="Times New Roman"/>
                <w:color w:val="0563C1"/>
                <w:sz w:val="20"/>
                <w:szCs w:val="20"/>
                <w:u w:val="single"/>
                <w:lang w:val="en-GB" w:eastAsia="zh-CN"/>
              </w:rPr>
              <w:fldChar w:fldCharType="end"/>
            </w:r>
            <w:r>
              <w:rPr>
                <w:rFonts w:ascii="Times New Roman" w:hAnsi="Times New Roman" w:eastAsia="SimSun" w:cs="Times New Roman"/>
                <w:b/>
                <w:bCs/>
                <w:color w:val="000000"/>
                <w:sz w:val="20"/>
                <w:szCs w:val="20"/>
                <w:lang w:eastAsia="zh-CN"/>
              </w:rPr>
              <w:t>.</w:t>
            </w:r>
          </w:p>
          <w:p w14:paraId="5B9FED63">
            <w:pPr>
              <w:autoSpaceDE w:val="0"/>
              <w:autoSpaceDN w:val="0"/>
              <w:adjustRightInd w:val="0"/>
              <w:spacing w:after="0" w:line="240" w:lineRule="auto"/>
              <w:jc w:val="both"/>
              <w:rPr>
                <w:rFonts w:ascii="Times New Roman" w:hAnsi="Times New Roman" w:eastAsia="SimSun" w:cs="Times New Roman"/>
                <w:b/>
                <w:bCs/>
                <w:color w:val="000000"/>
                <w:sz w:val="20"/>
                <w:szCs w:val="20"/>
                <w:lang w:eastAsia="zh-CN"/>
              </w:rPr>
            </w:pPr>
          </w:p>
          <w:p w14:paraId="2162E5F4">
            <w:pPr>
              <w:autoSpaceDE w:val="0"/>
              <w:autoSpaceDN w:val="0"/>
              <w:adjustRightInd w:val="0"/>
              <w:spacing w:after="0" w:line="240" w:lineRule="auto"/>
              <w:jc w:val="both"/>
              <w:rPr>
                <w:rFonts w:ascii="Times New Roman" w:hAnsi="Times New Roman" w:eastAsia="SimSun" w:cs="Times New Roman"/>
                <w:b/>
                <w:bCs/>
                <w:color w:val="000000"/>
                <w:sz w:val="20"/>
                <w:szCs w:val="20"/>
                <w:lang w:eastAsia="zh-CN"/>
              </w:rPr>
            </w:pPr>
          </w:p>
          <w:p w14:paraId="6A1C8633">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[17] Meyer, S. L., Lakshman, D. K., Zasada, I. A., Vinyard, B. T., and Chitwood, D. J. (2008). Dose–response effects of clove oil from </w:t>
            </w:r>
            <w:r>
              <w:rPr>
                <w:rFonts w:ascii="Times New Roman" w:hAnsi="Times New Roman" w:eastAsia="SimSun" w:cs="Times New Roman"/>
                <w:i/>
                <w:iCs/>
                <w:color w:val="000000"/>
                <w:sz w:val="20"/>
                <w:szCs w:val="20"/>
                <w:lang w:val="en-GB" w:eastAsia="zh-CN"/>
              </w:rPr>
              <w:t>Syzygium aromaticum</w:t>
            </w:r>
            <w:r>
              <w:rPr>
                <w:rFonts w:ascii="Times New Roman" w:hAnsi="Times New Roman" w:eastAsia="SimSun" w:cs="Times New Roman"/>
                <w:color w:val="000000"/>
                <w:sz w:val="20"/>
                <w:szCs w:val="20"/>
                <w:lang w:val="en-GB" w:eastAsia="zh-CN"/>
              </w:rPr>
              <w:t xml:space="preserve"> on the root‐knot nematode </w:t>
            </w:r>
            <w:r>
              <w:rPr>
                <w:rFonts w:ascii="Times New Roman" w:hAnsi="Times New Roman" w:eastAsia="SimSun" w:cs="Times New Roman"/>
                <w:i/>
                <w:iCs/>
                <w:color w:val="000000"/>
                <w:sz w:val="20"/>
                <w:szCs w:val="20"/>
                <w:lang w:val="en-GB" w:eastAsia="zh-CN"/>
              </w:rPr>
              <w:t>Meloidogyne incognita</w:t>
            </w:r>
            <w:r>
              <w:rPr>
                <w:rFonts w:ascii="Times New Roman" w:hAnsi="Times New Roman" w:eastAsia="SimSun" w:cs="Times New Roman"/>
                <w:color w:val="000000"/>
                <w:sz w:val="20"/>
                <w:szCs w:val="20"/>
                <w:lang w:val="en-GB" w:eastAsia="zh-CN"/>
              </w:rPr>
              <w:t>. </w:t>
            </w:r>
            <w:r>
              <w:rPr>
                <w:rFonts w:ascii="Times New Roman" w:hAnsi="Times New Roman" w:eastAsia="SimSun" w:cs="Times New Roman"/>
                <w:i/>
                <w:iCs/>
                <w:color w:val="000000"/>
                <w:sz w:val="20"/>
                <w:szCs w:val="20"/>
                <w:lang w:val="en-GB" w:eastAsia="zh-CN"/>
              </w:rPr>
              <w:t>Pest Management Science: formerly Pesticide Science</w:t>
            </w:r>
            <w:r>
              <w:rPr>
                <w:rFonts w:ascii="Times New Roman" w:hAnsi="Times New Roman" w:eastAsia="SimSun" w:cs="Times New Roman"/>
                <w:color w:val="000000"/>
                <w:sz w:val="20"/>
                <w:szCs w:val="20"/>
                <w:lang w:val="en-GB" w:eastAsia="zh-CN"/>
              </w:rPr>
              <w:t>, 64(3), 223-229.</w:t>
            </w:r>
          </w:p>
          <w:p w14:paraId="63553415">
            <w:pPr>
              <w:autoSpaceDE w:val="0"/>
              <w:autoSpaceDN w:val="0"/>
              <w:adjustRightInd w:val="0"/>
              <w:spacing w:before="240" w:after="0" w:line="240" w:lineRule="auto"/>
              <w:jc w:val="both"/>
              <w:rPr>
                <w:rFonts w:ascii="Times New Roman" w:hAnsi="Times New Roman" w:eastAsia="SimSun" w:cs="Times New Roman"/>
                <w:color w:val="000000"/>
                <w:sz w:val="20"/>
                <w:szCs w:val="20"/>
                <w:rtl/>
                <w:lang w:val="en-GB" w:eastAsia="zh-CN"/>
              </w:rPr>
            </w:pPr>
            <w:r>
              <w:rPr>
                <w:rFonts w:ascii="Times New Roman" w:hAnsi="Times New Roman" w:eastAsia="SimSun" w:cs="Times New Roman"/>
                <w:color w:val="000000"/>
                <w:sz w:val="20"/>
                <w:szCs w:val="20"/>
                <w:lang w:val="en-GB" w:eastAsia="zh-CN"/>
              </w:rPr>
              <w:t>[18] Marais, M., Swart, A., Fourie, H., Berry, S. D., Knoetze, R., &amp; Malan, A. P. (2017). Techniques and procedures. </w:t>
            </w:r>
            <w:r>
              <w:rPr>
                <w:rFonts w:ascii="Times New Roman" w:hAnsi="Times New Roman" w:eastAsia="SimSun" w:cs="Times New Roman"/>
                <w:i/>
                <w:iCs/>
                <w:color w:val="000000"/>
                <w:sz w:val="20"/>
                <w:szCs w:val="20"/>
                <w:lang w:val="en-GB" w:eastAsia="zh-CN"/>
              </w:rPr>
              <w:t>Nematology in South Africa: A view from the 21st century</w:t>
            </w:r>
            <w:r>
              <w:rPr>
                <w:rFonts w:ascii="Times New Roman" w:hAnsi="Times New Roman" w:eastAsia="SimSun" w:cs="Times New Roman"/>
                <w:color w:val="000000"/>
                <w:sz w:val="20"/>
                <w:szCs w:val="20"/>
                <w:lang w:val="en-GB" w:eastAsia="zh-CN"/>
              </w:rPr>
              <w:t>, 73-117.</w:t>
            </w:r>
            <w:r>
              <w:rPr>
                <w:rFonts w:ascii="Times New Roman" w:hAnsi="Times New Roman" w:eastAsia="SimSun" w:cs="Times New Roman"/>
                <w:color w:val="000000"/>
                <w:sz w:val="20"/>
                <w:szCs w:val="20"/>
                <w:rtl/>
                <w:lang w:val="en-GB" w:eastAsia="zh-CN"/>
              </w:rPr>
              <w:t>‏</w:t>
            </w:r>
          </w:p>
          <w:p w14:paraId="56BBF680">
            <w:pPr>
              <w:autoSpaceDE w:val="0"/>
              <w:autoSpaceDN w:val="0"/>
              <w:adjustRightInd w:val="0"/>
              <w:spacing w:after="0" w:line="240" w:lineRule="auto"/>
              <w:jc w:val="both"/>
              <w:rPr>
                <w:rFonts w:ascii="Times New Roman" w:hAnsi="Times New Roman" w:eastAsia="SimSun" w:cs="Times New Roman"/>
                <w:b/>
                <w:bCs/>
                <w:color w:val="000000"/>
                <w:sz w:val="20"/>
                <w:szCs w:val="20"/>
                <w:lang w:eastAsia="zh-CN"/>
              </w:rPr>
            </w:pPr>
          </w:p>
          <w:p w14:paraId="03EC636C">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[19] Amaral, D. G., Behniea, H., and Kelly, J. L. (2003). Topographic organization of projections from the amygdala to the visual cortex in the macaque monkey. </w:t>
            </w:r>
            <w:r>
              <w:rPr>
                <w:rFonts w:ascii="Times New Roman" w:hAnsi="Times New Roman" w:eastAsia="SimSun" w:cs="Times New Roman"/>
                <w:i/>
                <w:iCs/>
                <w:color w:val="000000"/>
                <w:sz w:val="20"/>
                <w:szCs w:val="20"/>
                <w:lang w:val="en-GB" w:eastAsia="zh-CN"/>
              </w:rPr>
              <w:t>Neuroscience</w:t>
            </w:r>
            <w:r>
              <w:rPr>
                <w:rFonts w:ascii="Times New Roman" w:hAnsi="Times New Roman" w:eastAsia="SimSun" w:cs="Times New Roman"/>
                <w:color w:val="000000"/>
                <w:sz w:val="20"/>
                <w:szCs w:val="20"/>
                <w:lang w:val="en-GB" w:eastAsia="zh-CN"/>
              </w:rPr>
              <w:t>, 118(4), 1099-1120.</w:t>
            </w:r>
            <w:r>
              <w:rPr>
                <w:rFonts w:ascii="Times New Roman" w:hAnsi="Times New Roman" w:eastAsia="SimSun" w:cs="Times New Roman"/>
                <w:color w:val="000000"/>
                <w:sz w:val="20"/>
                <w:szCs w:val="20"/>
                <w:rtl/>
                <w:lang w:val="en-GB" w:eastAsia="zh-CN"/>
              </w:rPr>
              <w:t>‏</w:t>
            </w:r>
          </w:p>
          <w:p w14:paraId="1EAECE53">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p>
          <w:p w14:paraId="332E0073">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[20] Machado, G., Leon, S., Santos, F., Lourega, R., Dullius, J., Mollmann, M. E., and Eichler, P. (2016). Literature review on furfural production from lignocellulosic biomass. </w:t>
            </w:r>
            <w:r>
              <w:rPr>
                <w:rFonts w:ascii="Times New Roman" w:hAnsi="Times New Roman" w:eastAsia="SimSun" w:cs="Times New Roman"/>
                <w:i/>
                <w:iCs/>
                <w:color w:val="000000"/>
                <w:sz w:val="20"/>
                <w:szCs w:val="20"/>
                <w:lang w:val="en-GB" w:eastAsia="zh-CN"/>
              </w:rPr>
              <w:t>Natural Resources</w:t>
            </w:r>
            <w:r>
              <w:rPr>
                <w:rFonts w:ascii="Times New Roman" w:hAnsi="Times New Roman" w:eastAsia="SimSun" w:cs="Times New Roman"/>
                <w:color w:val="000000"/>
                <w:sz w:val="20"/>
                <w:szCs w:val="20"/>
                <w:lang w:val="en-GB" w:eastAsia="zh-CN"/>
              </w:rPr>
              <w:t>, 7(03), 115.</w:t>
            </w:r>
            <w:r>
              <w:rPr>
                <w:rFonts w:ascii="Times New Roman" w:hAnsi="Times New Roman" w:eastAsia="SimSun" w:cs="Times New Roman"/>
                <w:color w:val="000000"/>
                <w:sz w:val="20"/>
                <w:szCs w:val="20"/>
                <w:rtl/>
                <w:lang w:val="en-GB" w:eastAsia="zh-CN"/>
              </w:rPr>
              <w:t>‏</w:t>
            </w:r>
          </w:p>
          <w:p w14:paraId="06D3FB65">
            <w:pPr>
              <w:autoSpaceDE w:val="0"/>
              <w:autoSpaceDN w:val="0"/>
              <w:adjustRightInd w:val="0"/>
              <w:spacing w:before="240" w:after="240" w:line="276" w:lineRule="auto"/>
              <w:jc w:val="both"/>
              <w:rPr>
                <w:rFonts w:ascii="Times New Roman" w:hAnsi="Times New Roman" w:eastAsia="SimSun" w:cs="Times New Roman"/>
                <w:color w:val="000000"/>
                <w:sz w:val="20"/>
                <w:szCs w:val="20"/>
                <w:lang w:val="en-GB" w:eastAsia="zh-CN"/>
              </w:rPr>
            </w:pPr>
            <w:r>
              <w:rPr>
                <w:rFonts w:ascii="Times New Roman" w:hAnsi="Times New Roman" w:eastAsia="SimSun" w:cs="Times New Roman"/>
                <w:color w:val="000000"/>
                <w:sz w:val="20"/>
                <w:szCs w:val="20"/>
                <w:lang w:val="en-GB" w:eastAsia="zh-CN"/>
              </w:rPr>
              <w:t xml:space="preserve">  [21]   Walter, G. J., and Rodríguez-Kábana, R. (1992). Method for the treatment of nematodes in soil using furfural.</w:t>
            </w:r>
            <w:r>
              <w:rPr>
                <w:rFonts w:ascii="Times New Roman" w:hAnsi="Times New Roman" w:eastAsia="SimSun" w:cs="Times New Roman"/>
                <w:color w:val="000000"/>
                <w:sz w:val="20"/>
                <w:szCs w:val="20"/>
                <w:rtl/>
                <w:lang w:val="en-GB" w:eastAsia="zh-CN"/>
              </w:rPr>
              <w:t>‏</w:t>
            </w:r>
            <w:r>
              <w:rPr>
                <w:rFonts w:ascii="Times New Roman" w:hAnsi="Times New Roman" w:eastAsia="SimSun" w:cs="Times New Roman"/>
                <w:color w:val="000000"/>
                <w:sz w:val="20"/>
                <w:szCs w:val="20"/>
                <w:lang w:val="en-GB" w:eastAsia="zh-CN"/>
              </w:rPr>
              <w:t xml:space="preserve">  United States PatentNo. US, 84(5),47</w:t>
            </w:r>
          </w:p>
          <w:p w14:paraId="1F25E1DF">
            <w:pPr>
              <w:pStyle w:val="18"/>
              <w:spacing w:after="0" w:line="240" w:lineRule="auto"/>
              <w:rPr>
                <w:b w:val="0"/>
                <w:bCs w:val="0"/>
                <w:sz w:val="20"/>
                <w:szCs w:val="20"/>
              </w:rPr>
            </w:pPr>
            <w:r>
              <w:rPr>
                <w:rFonts w:ascii="Times New Roman" w:hAnsi="Times New Roman" w:cs="Times New Roman"/>
                <w:sz w:val="20"/>
                <w:szCs w:val="20"/>
              </w:rPr>
              <w:t>[22]</w:t>
            </w:r>
            <w:r>
              <w:rPr>
                <w:b w:val="0"/>
                <w:bCs w:val="0"/>
                <w:sz w:val="20"/>
                <w:szCs w:val="20"/>
              </w:rPr>
              <w:t xml:space="preserve">    Burger, G. J. (2005). An overview of the development of furfural (Crop GuardR) as a nematicide in South Africa: the chemistry of furfural within the soil and agricultural environment, in : proceeding of the annual international research conference methyl bromide alternative and emissions reduction 27-1(abstract) </w:t>
            </w:r>
          </w:p>
          <w:p w14:paraId="0D600D56">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pPr>
          </w:p>
        </w:tc>
      </w:tr>
    </w:tbl>
    <w:p w14:paraId="601970B7">
      <w:pPr>
        <w:autoSpaceDE w:val="0"/>
        <w:autoSpaceDN w:val="0"/>
        <w:adjustRightInd w:val="0"/>
        <w:spacing w:before="240" w:after="0" w:line="240" w:lineRule="auto"/>
        <w:jc w:val="both"/>
        <w:rPr>
          <w:rFonts w:ascii="Times New Roman" w:hAnsi="Times New Roman" w:eastAsia="SimSun" w:cs="Times New Roman"/>
          <w:color w:val="000000"/>
          <w:sz w:val="20"/>
          <w:szCs w:val="20"/>
          <w:lang w:val="en-GB" w:eastAsia="zh-CN"/>
        </w:rPr>
        <w:sectPr>
          <w:type w:val="continuous"/>
          <w:pgSz w:w="11906" w:h="16838"/>
          <w:pgMar w:top="1440" w:right="1106" w:bottom="1440" w:left="1080" w:header="720" w:footer="720" w:gutter="0"/>
          <w:cols w:space="720" w:num="2"/>
          <w:docGrid w:linePitch="360" w:charSpace="0"/>
        </w:sectPr>
      </w:pPr>
      <w:r>
        <w:rPr>
          <w:rFonts w:ascii="Times New Roman" w:hAnsi="Times New Roman" w:eastAsia="SimSun" w:cs="Times New Roman"/>
          <w:color w:val="000000"/>
          <w:sz w:val="20"/>
          <w:szCs w:val="20"/>
          <w:lang w:val="en-GB" w:eastAsia="zh-CN"/>
        </w:rPr>
        <w:t>[23]  Fourie, H., Van Aardt, W. J., Venter, C., and Tiedt, L. R. (2014). The effects of CropGuard® on the motility, ultrastructure, and respiration of two Meloidogyne species. </w:t>
      </w:r>
      <w:r>
        <w:rPr>
          <w:rFonts w:ascii="Times New Roman" w:hAnsi="Times New Roman" w:eastAsia="SimSun" w:cs="Times New Roman"/>
          <w:i/>
          <w:iCs/>
          <w:color w:val="000000"/>
          <w:sz w:val="20"/>
          <w:szCs w:val="20"/>
          <w:lang w:val="en-GB" w:eastAsia="zh-CN"/>
        </w:rPr>
        <w:t>Nematropica</w:t>
      </w:r>
      <w:r>
        <w:rPr>
          <w:rFonts w:ascii="Times New Roman" w:hAnsi="Times New Roman" w:eastAsia="SimSun" w:cs="Times New Roman"/>
          <w:color w:val="000000"/>
          <w:sz w:val="20"/>
          <w:szCs w:val="20"/>
          <w:lang w:val="en-GB" w:eastAsia="zh-CN"/>
        </w:rPr>
        <w:t>, 44(1), 85-92.</w:t>
      </w:r>
      <w:r>
        <w:rPr>
          <w:rFonts w:ascii="Times New Roman" w:hAnsi="Times New Roman" w:eastAsia="SimSun" w:cs="Times New Roman"/>
          <w:color w:val="000000"/>
          <w:sz w:val="20"/>
          <w:szCs w:val="20"/>
          <w:rtl/>
          <w:lang w:val="en-GB" w:eastAsia="zh-CN"/>
        </w:rPr>
        <w:t>‏</w:t>
      </w:r>
    </w:p>
    <w:p w14:paraId="30A0946D">
      <w:pPr>
        <w:pStyle w:val="18"/>
        <w:spacing w:before="0" w:after="0" w:line="240" w:lineRule="auto"/>
        <w:rPr>
          <w:sz w:val="20"/>
          <w:szCs w:val="20"/>
          <w:lang w:val="en-US" w:bidi="ar-EG"/>
        </w:rPr>
      </w:pPr>
    </w:p>
    <w:sectPr>
      <w:type w:val="continuous"/>
      <w:pgSz w:w="11906" w:h="16838"/>
      <w:pgMar w:top="1440" w:right="1106" w:bottom="1440" w:left="108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2003">
    <w:pPr>
      <w:tabs>
        <w:tab w:val="center" w:pos="4680"/>
        <w:tab w:val="right" w:pos="9360"/>
      </w:tabs>
      <w:spacing w:after="0" w:line="240" w:lineRule="auto"/>
      <w:jc w:val="right"/>
      <w:rPr>
        <w:rFonts w:ascii="Times New Roman" w:hAnsi="Times New Roman" w:eastAsia="Calibri" w:cs="Times New Roman"/>
        <w:lang w:bidi="ar-EG"/>
      </w:rPr>
    </w:pPr>
    <w:r>
      <w:rPr>
        <w:rFonts w:ascii="Times New Roman" w:hAnsi="Times New Roman" w:eastAsia="Calibri" w:cs="Times New Roman"/>
        <w:b/>
        <w:bCs/>
        <w:sz w:val="20"/>
        <w:szCs w:val="20"/>
      </w:rPr>
      <w:t>Benha Journal Of Applied Sciences, Vol. (8) Issue (2) (2023</w:t>
    </w:r>
    <w:r>
      <w:rPr>
        <w:rFonts w:hint="cs" w:ascii="Times New Roman" w:hAnsi="Times New Roman" w:eastAsia="Calibri" w:cs="Times New Roman"/>
        <w:b/>
        <w:bCs/>
        <w:sz w:val="20"/>
        <w:szCs w:val="20"/>
        <w:rt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12BB">
    <w:pPr>
      <w:tabs>
        <w:tab w:val="center" w:pos="4680"/>
        <w:tab w:val="right" w:pos="9360"/>
      </w:tabs>
      <w:spacing w:after="0" w:line="240" w:lineRule="auto"/>
      <w:jc w:val="right"/>
      <w:rPr>
        <w:rFonts w:ascii="Times New Roman" w:hAnsi="Times New Roman" w:eastAsia="Calibri" w:cs="Times New Roman"/>
        <w:lang w:bidi="ar-EG"/>
      </w:rPr>
    </w:pPr>
    <w:r>
      <w:rPr>
        <w:rFonts w:ascii="Times New Roman" w:hAnsi="Times New Roman" w:eastAsia="Calibri" w:cs="Times New Roman"/>
        <w:b/>
        <w:bCs/>
        <w:sz w:val="20"/>
        <w:szCs w:val="20"/>
      </w:rPr>
      <w:t>Benha Journal Of Applied Sciences, Vol. (8) Issue (2) (2023</w:t>
    </w:r>
    <w:r>
      <w:rPr>
        <w:rFonts w:hint="cs" w:ascii="Times New Roman" w:hAnsi="Times New Roman" w:eastAsia="Calibri" w:cs="Times New Roman"/>
        <w:b/>
        <w:bCs/>
        <w:sz w:val="20"/>
        <w:szCs w:val="20"/>
        <w:rt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ED54">
    <w:pPr>
      <w:tabs>
        <w:tab w:val="center" w:pos="4680"/>
        <w:tab w:val="right" w:pos="9360"/>
      </w:tabs>
      <w:spacing w:after="0" w:line="240" w:lineRule="auto"/>
      <w:jc w:val="right"/>
      <w:rPr>
        <w:rFonts w:ascii="Times New Roman" w:hAnsi="Times New Roman" w:eastAsia="Calibri" w:cs="Times New Roman"/>
        <w:lang w:bidi="ar-EG"/>
      </w:rPr>
    </w:pPr>
    <w:r>
      <w:rPr>
        <w:rFonts w:ascii="Times New Roman" w:hAnsi="Times New Roman" w:eastAsia="Calibri" w:cs="Times New Roman"/>
        <w:b/>
        <w:bCs/>
        <w:sz w:val="20"/>
        <w:szCs w:val="20"/>
      </w:rPr>
      <w:t>Benha Journal Of Applied Sciences, Vol. (8) Issue (2) (2023</w:t>
    </w:r>
    <w:r>
      <w:rPr>
        <w:rFonts w:hint="cs" w:ascii="Times New Roman" w:hAnsi="Times New Roman" w:eastAsia="Calibri" w:cs="Times New Roman"/>
        <w:b/>
        <w:bCs/>
        <w:sz w:val="20"/>
        <w:szCs w:val="20"/>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Bidi" w:hAnsiTheme="majorBidi" w:cstheme="majorBidi"/>
        <w:b/>
        <w:bCs/>
        <w:sz w:val="20"/>
        <w:szCs w:val="20"/>
      </w:rPr>
      <w:id w:val="161589527"/>
      <w:docPartObj>
        <w:docPartGallery w:val="autotext"/>
      </w:docPartObj>
    </w:sdtPr>
    <w:sdtEndPr>
      <w:rPr>
        <w:rFonts w:asciiTheme="majorBidi" w:hAnsiTheme="majorBidi" w:cstheme="majorBidi"/>
        <w:b/>
        <w:bCs/>
        <w:sz w:val="20"/>
        <w:szCs w:val="20"/>
      </w:rPr>
    </w:sdtEndPr>
    <w:sdtContent>
      <w:p w14:paraId="76758C12">
        <w:pPr>
          <w:pStyle w:val="11"/>
          <w:rPr>
            <w:rFonts w:asciiTheme="majorBidi" w:hAnsiTheme="majorBidi" w:cstheme="majorBidi"/>
            <w:b/>
            <w:bCs/>
            <w:sz w:val="20"/>
            <w:szCs w:val="20"/>
          </w:rPr>
        </w:pPr>
        <w:r>
          <w:rPr>
            <w:rFonts w:asciiTheme="majorBidi" w:hAnsiTheme="majorBidi" w:cstheme="majorBidi"/>
            <w:b/>
            <w:bCs/>
            <w:sz w:val="20"/>
            <w:szCs w:val="20"/>
          </w:rPr>
          <w:t xml:space="preserve">Ahmed.M.Shawky, Mohamed.A.Mohamed, Ibrahim.I.Soudian and Tarek.I.Edris                                                   </w:t>
        </w:r>
        <w:r>
          <w:rPr>
            <w:rFonts w:asciiTheme="majorBidi" w:hAnsiTheme="majorBidi" w:cstheme="majorBidi"/>
            <w:b/>
            <w:bCs/>
            <w:sz w:val="20"/>
            <w:szCs w:val="20"/>
          </w:rPr>
          <w:fldChar w:fldCharType="begin"/>
        </w:r>
        <w:r>
          <w:rPr>
            <w:rFonts w:asciiTheme="majorBidi" w:hAnsiTheme="majorBidi" w:cstheme="majorBidi"/>
            <w:b/>
            <w:bCs/>
            <w:sz w:val="20"/>
            <w:szCs w:val="20"/>
          </w:rPr>
          <w:instrText xml:space="preserve"> PAGE   \* MERGEFORMAT </w:instrText>
        </w:r>
        <w:r>
          <w:rPr>
            <w:rFonts w:asciiTheme="majorBidi" w:hAnsiTheme="majorBidi" w:cstheme="majorBidi"/>
            <w:b/>
            <w:bCs/>
            <w:sz w:val="20"/>
            <w:szCs w:val="20"/>
          </w:rPr>
          <w:fldChar w:fldCharType="separate"/>
        </w:r>
        <w:r>
          <w:rPr>
            <w:rFonts w:asciiTheme="majorBidi" w:hAnsiTheme="majorBidi" w:cstheme="majorBidi"/>
            <w:b/>
            <w:bCs/>
            <w:sz w:val="20"/>
            <w:szCs w:val="20"/>
          </w:rPr>
          <w:t>25</w:t>
        </w:r>
        <w:r>
          <w:rPr>
            <w:rFonts w:asciiTheme="majorBidi" w:hAnsiTheme="majorBidi" w:cstheme="majorBidi"/>
            <w:b/>
            <w:bCs/>
            <w:sz w:val="20"/>
            <w:szCs w:val="20"/>
          </w:rPr>
          <w:fldChar w:fldCharType="end"/>
        </w:r>
      </w:p>
    </w:sdtContent>
  </w:sdt>
  <w:p w14:paraId="44C9E3DF">
    <w:pPr>
      <w:pStyle w:val="11"/>
      <w:rPr>
        <w:rFonts w:asciiTheme="majorBidi" w:hAnsiTheme="majorBidi" w:cstheme="majorBidi"/>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C2B5">
    <w:pPr>
      <w:pStyle w:val="11"/>
      <w:rPr>
        <w:rFonts w:asciiTheme="majorBidi" w:hAnsiTheme="majorBidi" w:cstheme="majorBidi"/>
        <w:b/>
        <w:bCs/>
        <w:sz w:val="20"/>
        <w:szCs w:val="20"/>
      </w:rPr>
    </w:pPr>
    <w:sdt>
      <w:sdtPr>
        <w:rPr>
          <w:rFonts w:asciiTheme="majorBidi" w:hAnsiTheme="majorBidi" w:cstheme="majorBidi"/>
          <w:b/>
          <w:bCs/>
          <w:sz w:val="20"/>
          <w:szCs w:val="20"/>
        </w:rPr>
        <w:id w:val="-1424871343"/>
        <w:docPartObj>
          <w:docPartGallery w:val="autotext"/>
        </w:docPartObj>
      </w:sdtPr>
      <w:sdtEndPr>
        <w:rPr>
          <w:rFonts w:asciiTheme="majorBidi" w:hAnsiTheme="majorBidi" w:cstheme="majorBidi"/>
          <w:b/>
          <w:bCs/>
          <w:sz w:val="20"/>
          <w:szCs w:val="20"/>
        </w:rPr>
      </w:sdtEndPr>
      <w:sdtContent>
        <w:r>
          <w:rPr>
            <w:rFonts w:asciiTheme="majorBidi" w:hAnsiTheme="majorBidi" w:cstheme="majorBidi"/>
            <w:b/>
            <w:bCs/>
            <w:sz w:val="20"/>
            <w:szCs w:val="20"/>
          </w:rPr>
          <w:fldChar w:fldCharType="begin"/>
        </w:r>
        <w:r>
          <w:rPr>
            <w:rFonts w:asciiTheme="majorBidi" w:hAnsiTheme="majorBidi" w:cstheme="majorBidi"/>
            <w:b/>
            <w:bCs/>
            <w:sz w:val="20"/>
            <w:szCs w:val="20"/>
          </w:rPr>
          <w:instrText xml:space="preserve"> PAGE   \* MERGEFORMAT </w:instrText>
        </w:r>
        <w:r>
          <w:rPr>
            <w:rFonts w:asciiTheme="majorBidi" w:hAnsiTheme="majorBidi" w:cstheme="majorBidi"/>
            <w:b/>
            <w:bCs/>
            <w:sz w:val="20"/>
            <w:szCs w:val="20"/>
          </w:rPr>
          <w:fldChar w:fldCharType="separate"/>
        </w:r>
        <w:r>
          <w:rPr>
            <w:rFonts w:asciiTheme="majorBidi" w:hAnsiTheme="majorBidi" w:cstheme="majorBidi"/>
            <w:b/>
            <w:bCs/>
            <w:sz w:val="20"/>
            <w:szCs w:val="20"/>
          </w:rPr>
          <w:t>26</w:t>
        </w:r>
        <w:r>
          <w:rPr>
            <w:rFonts w:asciiTheme="majorBidi" w:hAnsiTheme="majorBidi" w:cstheme="majorBidi"/>
            <w:b/>
            <w:bCs/>
            <w:sz w:val="20"/>
            <w:szCs w:val="20"/>
          </w:rPr>
          <w:fldChar w:fldCharType="end"/>
        </w:r>
      </w:sdtContent>
    </w:sdt>
    <w:r>
      <w:rPr>
        <w:rFonts w:asciiTheme="majorBidi" w:hAnsiTheme="majorBidi" w:cstheme="majorBidi"/>
        <w:b/>
        <w:bCs/>
        <w:sz w:val="26"/>
        <w:szCs w:val="26"/>
      </w:rPr>
      <w:t xml:space="preserve">                       </w:t>
    </w:r>
    <w:r>
      <w:rPr>
        <w:rFonts w:asciiTheme="majorBidi" w:hAnsiTheme="majorBidi" w:cstheme="majorBidi"/>
        <w:b/>
        <w:bCs/>
        <w:sz w:val="20"/>
        <w:szCs w:val="20"/>
      </w:rPr>
      <w:t>Comparison between Different Ultrasound Formulae for Accurate Estimation of Fetal Weight</w:t>
    </w:r>
  </w:p>
  <w:p w14:paraId="01017EB4">
    <w:pPr>
      <w:pStyle w:val="11"/>
      <w:rPr>
        <w:rFonts w:asciiTheme="majorBidi" w:hAnsiTheme="majorBidi" w:cstheme="majorBidi"/>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D1BC">
    <w:pPr>
      <w:widowControl w:val="0"/>
      <w:spacing w:after="0" w:line="240" w:lineRule="auto"/>
      <w:rPr>
        <w:rFonts w:ascii="Times New Roman" w:hAnsi="Times New Roman" w:eastAsia="Times New Roman" w:cs="Times New Roman"/>
        <w:b/>
        <w:bCs/>
        <w:color w:val="000000"/>
        <w:sz w:val="20"/>
        <w:szCs w:val="20"/>
        <w:lang w:val="en-GB" w:eastAsia="ar-SA"/>
      </w:rPr>
    </w:pPr>
    <w:r>
      <w:rPr>
        <w:rFonts w:ascii="Times New Roman" w:hAnsi="Times New Roman" w:eastAsia="Times New Roman" w:cs="Times New Roman"/>
        <w:b/>
        <w:bCs/>
        <w:sz w:val="20"/>
        <w:szCs w:val="20"/>
        <w:lang w:val="en-GB" w:eastAsia="ar-SA"/>
      </w:rPr>
      <w:t xml:space="preserve">Benha Journal of Applied Sciences (BJAS)     </w:t>
    </w:r>
    <w:r>
      <w:rPr>
        <w:rFonts w:ascii="Times New Roman" w:hAnsi="Times New Roman" w:eastAsia="Times New Roman" w:cs="Times New Roman"/>
        <w:b/>
        <w:bCs/>
        <w:color w:val="000000"/>
        <w:sz w:val="20"/>
        <w:szCs w:val="20"/>
        <w:lang w:val="en-GB" w:eastAsia="ar-SA"/>
      </w:rPr>
      <w:t xml:space="preserve">                                                                            print: ISSN 2356–9751 </w:t>
    </w:r>
  </w:p>
  <w:p w14:paraId="31C6FF93">
    <w:pPr>
      <w:widowControl w:val="0"/>
      <w:spacing w:after="0" w:line="240" w:lineRule="auto"/>
      <w:rPr>
        <w:rFonts w:ascii="Times New Roman" w:hAnsi="Times New Roman" w:eastAsia="Times New Roman" w:cs="Times New Roman"/>
        <w:b/>
        <w:bCs/>
        <w:color w:val="000000"/>
        <w:sz w:val="20"/>
        <w:szCs w:val="20"/>
        <w:lang w:val="en-GB" w:eastAsia="ar-SA"/>
      </w:rPr>
    </w:pPr>
    <w:bookmarkStart w:id="4" w:name="_GoBack"/>
    <w:r>
      <w:rPr>
        <w:rFonts w:ascii="Times New Roman" w:hAnsi="Times New Roman" w:eastAsia="Times New Roman" w:cs="Times New Roman"/>
        <w:b/>
        <w:bCs/>
        <w:sz w:val="20"/>
        <w:szCs w:val="20"/>
        <w:lang w:val="en-GB" w:eastAsia="ar-SA" w:bidi="ar-EG"/>
      </w:rPr>
      <w:t xml:space="preserve">Vol. (8) Issue (2) (2023), </w:t>
    </w:r>
    <w:r>
      <w:rPr>
        <w:rFonts w:ascii="Times New Roman" w:hAnsi="Times New Roman" w:eastAsia="Times New Roman" w:cs="Times New Roman"/>
        <w:b/>
        <w:bCs/>
        <w:color w:val="000000"/>
        <w:sz w:val="20"/>
        <w:szCs w:val="20"/>
        <w:lang w:val="en-GB" w:eastAsia="ar-SA" w:bidi="ar-EG"/>
      </w:rPr>
      <w:t>(</w:t>
    </w:r>
    <w:r>
      <w:rPr>
        <w:rFonts w:ascii="Times New Roman" w:hAnsi="Times New Roman" w:eastAsia="Times New Roman" w:cs="Times New Roman"/>
        <w:b/>
        <w:bCs/>
        <w:color w:val="000000"/>
        <w:sz w:val="20"/>
        <w:szCs w:val="20"/>
        <w:lang w:eastAsia="ar-SA" w:bidi="ar-EG"/>
      </w:rPr>
      <w:t>11</w:t>
    </w:r>
    <w:r>
      <w:rPr>
        <w:rFonts w:ascii="Times New Roman" w:hAnsi="Times New Roman" w:eastAsia="Times New Roman" w:cs="Times New Roman"/>
        <w:b/>
        <w:bCs/>
        <w:color w:val="000000"/>
        <w:sz w:val="20"/>
        <w:szCs w:val="20"/>
        <w:lang w:val="en-GB" w:eastAsia="ar-SA" w:bidi="ar-EG"/>
      </w:rPr>
      <w:t xml:space="preserve">-17) </w:t>
    </w:r>
    <w:bookmarkEnd w:id="4"/>
    <w:r>
      <w:rPr>
        <w:rFonts w:ascii="Times New Roman" w:hAnsi="Times New Roman" w:eastAsia="Times New Roman" w:cs="Times New Roman"/>
        <w:b/>
        <w:bCs/>
        <w:color w:val="000000"/>
        <w:sz w:val="20"/>
        <w:szCs w:val="20"/>
        <w:lang w:val="en-GB" w:eastAsia="ar-SA"/>
      </w:rPr>
      <w:t xml:space="preserve">           </w:t>
    </w:r>
    <w:r>
      <w:rPr>
        <w:rFonts w:ascii="Times New Roman" w:hAnsi="Times New Roman" w:eastAsia="Times New Roman" w:cs="Times New Roman"/>
        <w:b/>
        <w:bCs/>
        <w:color w:val="000000"/>
        <w:sz w:val="20"/>
        <w:szCs w:val="20"/>
        <w:lang w:eastAsia="ar-SA"/>
      </w:rPr>
      <w:t xml:space="preserve">     </w:t>
    </w:r>
    <w:r>
      <w:rPr>
        <w:rFonts w:ascii="Times New Roman" w:hAnsi="Times New Roman" w:eastAsia="Times New Roman" w:cs="Times New Roman"/>
        <w:b/>
        <w:bCs/>
        <w:color w:val="000000"/>
        <w:sz w:val="20"/>
        <w:szCs w:val="20"/>
        <w:lang w:val="en-GB" w:eastAsia="ar-SA"/>
      </w:rPr>
      <w:t xml:space="preserve">                              </w:t>
    </w:r>
    <w:r>
      <w:rPr>
        <w:rFonts w:ascii="Times New Roman" w:hAnsi="Times New Roman" w:eastAsia="Times New Roman" w:cs="Times New Roman"/>
        <w:b/>
        <w:bCs/>
        <w:color w:val="000000"/>
        <w:sz w:val="20"/>
        <w:szCs w:val="20"/>
        <w:lang w:eastAsia="ar-SA"/>
      </w:rPr>
      <w:t xml:space="preserve">     </w:t>
    </w:r>
    <w:r>
      <w:rPr>
        <w:rFonts w:ascii="Times New Roman" w:hAnsi="Times New Roman" w:eastAsia="Times New Roman" w:cs="Times New Roman"/>
        <w:b/>
        <w:bCs/>
        <w:color w:val="000000"/>
        <w:sz w:val="20"/>
        <w:szCs w:val="20"/>
        <w:lang w:val="en-GB" w:eastAsia="ar-SA"/>
      </w:rPr>
      <w:t xml:space="preserve">            </w:t>
    </w:r>
    <w:r>
      <w:rPr>
        <w:rFonts w:ascii="Times New Roman" w:hAnsi="Times New Roman" w:eastAsia="Times New Roman" w:cs="Times New Roman"/>
        <w:b/>
        <w:bCs/>
        <w:color w:val="000000"/>
        <w:sz w:val="20"/>
        <w:szCs w:val="20"/>
        <w:lang w:eastAsia="ar-SA"/>
      </w:rPr>
      <w:t xml:space="preserve">                                    </w:t>
    </w:r>
    <w:r>
      <w:rPr>
        <w:rFonts w:ascii="Times New Roman" w:hAnsi="Times New Roman" w:eastAsia="Times New Roman" w:cs="Times New Roman"/>
        <w:b/>
        <w:bCs/>
        <w:color w:val="000000"/>
        <w:sz w:val="20"/>
        <w:szCs w:val="20"/>
        <w:lang w:val="en-GB" w:eastAsia="ar-SA"/>
      </w:rPr>
      <w:t>online: ISSN 2356–976x</w:t>
    </w:r>
  </w:p>
  <w:p w14:paraId="6FE44098">
    <w:pPr>
      <w:widowControl w:val="0"/>
      <w:tabs>
        <w:tab w:val="center" w:pos="4680"/>
        <w:tab w:val="right" w:pos="9360"/>
      </w:tabs>
      <w:spacing w:after="0" w:line="240" w:lineRule="auto"/>
      <w:jc w:val="center"/>
      <w:rPr>
        <w:rFonts w:ascii="Times New Roman" w:hAnsi="Times New Roman" w:eastAsia="Times New Roman" w:cs="Times New Roman"/>
        <w:b/>
        <w:bCs/>
        <w:color w:val="000000"/>
        <w:sz w:val="20"/>
        <w:szCs w:val="20"/>
        <w:lang w:eastAsia="ar-SA"/>
      </w:rPr>
    </w:pPr>
    <w:r>
      <w:fldChar w:fldCharType="begin"/>
    </w:r>
    <w:r>
      <w:instrText xml:space="preserve"> HYPERLINK "http://bjas.journals.ekb.eg" </w:instrText>
    </w:r>
    <w:r>
      <w:fldChar w:fldCharType="separate"/>
    </w:r>
    <w:r>
      <w:rPr>
        <w:rFonts w:ascii="Times New Roman" w:hAnsi="Times New Roman" w:eastAsia="Times New Roman" w:cs="Times New Roman"/>
        <w:b/>
        <w:bCs/>
        <w:color w:val="000000"/>
        <w:sz w:val="20"/>
        <w:szCs w:val="20"/>
        <w:lang w:val="en-GB" w:eastAsia="ar-SA"/>
      </w:rPr>
      <w:t>http://bjas.journals.ekb.eg</w:t>
    </w:r>
    <w:r>
      <w:rPr>
        <w:rFonts w:ascii="Times New Roman" w:hAnsi="Times New Roman" w:eastAsia="Times New Roman" w:cs="Times New Roman"/>
        <w:b/>
        <w:bCs/>
        <w:color w:val="000000"/>
        <w:sz w:val="20"/>
        <w:szCs w:val="20"/>
        <w:lang w:val="en-GB" w:eastAsia="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565DC"/>
    <w:multiLevelType w:val="multilevel"/>
    <w:tmpl w:val="4BE565D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CyMDQxtTSwNAICEyUdpeDU4uLM/DyQAqNaAGuLojQsAAAA"/>
    <w:docVar w:name="EN.InstantFormat" w:val="&lt;ENInstantFormat&gt;&lt;Enabled&gt;1&lt;/Enabled&gt;&lt;ScanUnformatted&gt;1&lt;/ScanUnformatted&gt;&lt;ScanChanges&gt;1&lt;/ScanChanges&gt;&lt;Suspended&gt;0&lt;/Suspended&gt;&lt;/ENInstantFormat&gt;"/>
    <w:docVar w:name="EN.Layout" w:val="&lt;ENLayout&gt;&lt;Style&gt;Science - Benh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pw292f3t0ss7epd505tefq0aaava2pzzfa&quot;&gt;Library&lt;record-ids&gt;&lt;item&gt;771&lt;/item&gt;&lt;item&gt;772&lt;/item&gt;&lt;item&gt;773&lt;/item&gt;&lt;item&gt;774&lt;/item&gt;&lt;item&gt;775&lt;/item&gt;&lt;item&gt;776&lt;/item&gt;&lt;item&gt;777&lt;/item&gt;&lt;item&gt;778&lt;/item&gt;&lt;/record-ids&gt;&lt;/item&gt;&lt;/Libraries&gt;"/>
  </w:docVars>
  <w:rsids>
    <w:rsidRoot w:val="00A54B0C"/>
    <w:rsid w:val="0000177C"/>
    <w:rsid w:val="00001D9A"/>
    <w:rsid w:val="00003BD8"/>
    <w:rsid w:val="0001088E"/>
    <w:rsid w:val="00010FE7"/>
    <w:rsid w:val="0001391A"/>
    <w:rsid w:val="00014A93"/>
    <w:rsid w:val="000162BF"/>
    <w:rsid w:val="00017EE8"/>
    <w:rsid w:val="00020A16"/>
    <w:rsid w:val="00025601"/>
    <w:rsid w:val="00027E82"/>
    <w:rsid w:val="00030DEB"/>
    <w:rsid w:val="00031553"/>
    <w:rsid w:val="0003193D"/>
    <w:rsid w:val="00031D2C"/>
    <w:rsid w:val="00033F4E"/>
    <w:rsid w:val="00035765"/>
    <w:rsid w:val="00036046"/>
    <w:rsid w:val="00040571"/>
    <w:rsid w:val="000417B6"/>
    <w:rsid w:val="0004213A"/>
    <w:rsid w:val="00043F88"/>
    <w:rsid w:val="000454A9"/>
    <w:rsid w:val="00047007"/>
    <w:rsid w:val="00057274"/>
    <w:rsid w:val="00077070"/>
    <w:rsid w:val="000835F6"/>
    <w:rsid w:val="00084C2B"/>
    <w:rsid w:val="00084E9F"/>
    <w:rsid w:val="000867FA"/>
    <w:rsid w:val="00093758"/>
    <w:rsid w:val="00096105"/>
    <w:rsid w:val="000A09D8"/>
    <w:rsid w:val="000A6505"/>
    <w:rsid w:val="000B1A41"/>
    <w:rsid w:val="000B6579"/>
    <w:rsid w:val="000B7FF0"/>
    <w:rsid w:val="000C02C1"/>
    <w:rsid w:val="000C2993"/>
    <w:rsid w:val="000C785F"/>
    <w:rsid w:val="000C7FB9"/>
    <w:rsid w:val="000D22B9"/>
    <w:rsid w:val="000D3D02"/>
    <w:rsid w:val="000D5369"/>
    <w:rsid w:val="000D5B9A"/>
    <w:rsid w:val="000E1140"/>
    <w:rsid w:val="0010130A"/>
    <w:rsid w:val="001028AB"/>
    <w:rsid w:val="0010305F"/>
    <w:rsid w:val="00114A24"/>
    <w:rsid w:val="00120194"/>
    <w:rsid w:val="001242BA"/>
    <w:rsid w:val="00144A08"/>
    <w:rsid w:val="00152396"/>
    <w:rsid w:val="00161BD8"/>
    <w:rsid w:val="00166112"/>
    <w:rsid w:val="00167D60"/>
    <w:rsid w:val="00167F69"/>
    <w:rsid w:val="00172D95"/>
    <w:rsid w:val="00174BAB"/>
    <w:rsid w:val="00174C6E"/>
    <w:rsid w:val="001752E2"/>
    <w:rsid w:val="00175E52"/>
    <w:rsid w:val="001862CF"/>
    <w:rsid w:val="00195931"/>
    <w:rsid w:val="001976FC"/>
    <w:rsid w:val="001A1324"/>
    <w:rsid w:val="001A667E"/>
    <w:rsid w:val="001A67D6"/>
    <w:rsid w:val="001A7F9A"/>
    <w:rsid w:val="001B7DE1"/>
    <w:rsid w:val="001C5045"/>
    <w:rsid w:val="001C5BE2"/>
    <w:rsid w:val="001D1E22"/>
    <w:rsid w:val="001D2228"/>
    <w:rsid w:val="001E0F43"/>
    <w:rsid w:val="001E275D"/>
    <w:rsid w:val="001E5338"/>
    <w:rsid w:val="001F2BCF"/>
    <w:rsid w:val="001F53C5"/>
    <w:rsid w:val="00213660"/>
    <w:rsid w:val="00225A45"/>
    <w:rsid w:val="002267F6"/>
    <w:rsid w:val="00227FFA"/>
    <w:rsid w:val="00234440"/>
    <w:rsid w:val="00234A84"/>
    <w:rsid w:val="00247879"/>
    <w:rsid w:val="00251E9B"/>
    <w:rsid w:val="00253CD6"/>
    <w:rsid w:val="002545CB"/>
    <w:rsid w:val="00255EEC"/>
    <w:rsid w:val="00256565"/>
    <w:rsid w:val="002565FB"/>
    <w:rsid w:val="002608ED"/>
    <w:rsid w:val="002626F6"/>
    <w:rsid w:val="00266C54"/>
    <w:rsid w:val="00275CCF"/>
    <w:rsid w:val="00276D0D"/>
    <w:rsid w:val="0028165D"/>
    <w:rsid w:val="00282523"/>
    <w:rsid w:val="00283179"/>
    <w:rsid w:val="00287474"/>
    <w:rsid w:val="00287A0A"/>
    <w:rsid w:val="00291CE4"/>
    <w:rsid w:val="00291ECD"/>
    <w:rsid w:val="00292D24"/>
    <w:rsid w:val="0029309A"/>
    <w:rsid w:val="002A4FD9"/>
    <w:rsid w:val="002A54E3"/>
    <w:rsid w:val="002A77F7"/>
    <w:rsid w:val="002B152D"/>
    <w:rsid w:val="002B2711"/>
    <w:rsid w:val="002B58C9"/>
    <w:rsid w:val="002B6413"/>
    <w:rsid w:val="002B748A"/>
    <w:rsid w:val="002C01CE"/>
    <w:rsid w:val="002C0AA3"/>
    <w:rsid w:val="002D06E8"/>
    <w:rsid w:val="002D5C0C"/>
    <w:rsid w:val="002E1268"/>
    <w:rsid w:val="002E13A1"/>
    <w:rsid w:val="002E1438"/>
    <w:rsid w:val="002E3825"/>
    <w:rsid w:val="002E61DD"/>
    <w:rsid w:val="002E6475"/>
    <w:rsid w:val="002F0906"/>
    <w:rsid w:val="00300D3E"/>
    <w:rsid w:val="00303424"/>
    <w:rsid w:val="00303BE6"/>
    <w:rsid w:val="0031289A"/>
    <w:rsid w:val="00313770"/>
    <w:rsid w:val="00313802"/>
    <w:rsid w:val="00321785"/>
    <w:rsid w:val="00322020"/>
    <w:rsid w:val="003231CD"/>
    <w:rsid w:val="00323699"/>
    <w:rsid w:val="00324126"/>
    <w:rsid w:val="00324627"/>
    <w:rsid w:val="0032606A"/>
    <w:rsid w:val="00333645"/>
    <w:rsid w:val="003370F4"/>
    <w:rsid w:val="00343048"/>
    <w:rsid w:val="003439F6"/>
    <w:rsid w:val="00344853"/>
    <w:rsid w:val="00344F43"/>
    <w:rsid w:val="003461F5"/>
    <w:rsid w:val="00346C5A"/>
    <w:rsid w:val="00362D7B"/>
    <w:rsid w:val="00362F1A"/>
    <w:rsid w:val="0036358F"/>
    <w:rsid w:val="00370B03"/>
    <w:rsid w:val="003722EF"/>
    <w:rsid w:val="00372FFD"/>
    <w:rsid w:val="00373E11"/>
    <w:rsid w:val="00377967"/>
    <w:rsid w:val="003802A0"/>
    <w:rsid w:val="00382C0F"/>
    <w:rsid w:val="00385687"/>
    <w:rsid w:val="00387898"/>
    <w:rsid w:val="00390A71"/>
    <w:rsid w:val="00394C37"/>
    <w:rsid w:val="00396F92"/>
    <w:rsid w:val="003A20ED"/>
    <w:rsid w:val="003A30AB"/>
    <w:rsid w:val="003A77E1"/>
    <w:rsid w:val="003B3231"/>
    <w:rsid w:val="003B4D5A"/>
    <w:rsid w:val="003B59BD"/>
    <w:rsid w:val="003B6519"/>
    <w:rsid w:val="003C70F1"/>
    <w:rsid w:val="003E3977"/>
    <w:rsid w:val="003E5F7E"/>
    <w:rsid w:val="003F03A4"/>
    <w:rsid w:val="003F3870"/>
    <w:rsid w:val="003F4BEF"/>
    <w:rsid w:val="004001C6"/>
    <w:rsid w:val="0040309F"/>
    <w:rsid w:val="00404B41"/>
    <w:rsid w:val="00410CB2"/>
    <w:rsid w:val="0041263B"/>
    <w:rsid w:val="00413852"/>
    <w:rsid w:val="00420329"/>
    <w:rsid w:val="00421C38"/>
    <w:rsid w:val="00423C3F"/>
    <w:rsid w:val="00425250"/>
    <w:rsid w:val="0042610F"/>
    <w:rsid w:val="004264A2"/>
    <w:rsid w:val="004357F9"/>
    <w:rsid w:val="0044140B"/>
    <w:rsid w:val="004415CD"/>
    <w:rsid w:val="00442C80"/>
    <w:rsid w:val="00450450"/>
    <w:rsid w:val="00461AD4"/>
    <w:rsid w:val="004661E8"/>
    <w:rsid w:val="0047120F"/>
    <w:rsid w:val="00472E01"/>
    <w:rsid w:val="00477661"/>
    <w:rsid w:val="00481AEA"/>
    <w:rsid w:val="00491159"/>
    <w:rsid w:val="0049334B"/>
    <w:rsid w:val="00496A08"/>
    <w:rsid w:val="004A4997"/>
    <w:rsid w:val="004A5ACC"/>
    <w:rsid w:val="004B39FA"/>
    <w:rsid w:val="004B442E"/>
    <w:rsid w:val="004B762E"/>
    <w:rsid w:val="004B7C01"/>
    <w:rsid w:val="004C15A3"/>
    <w:rsid w:val="004C4CB0"/>
    <w:rsid w:val="004D2523"/>
    <w:rsid w:val="004E33C4"/>
    <w:rsid w:val="004E6A87"/>
    <w:rsid w:val="004F11CE"/>
    <w:rsid w:val="005067FB"/>
    <w:rsid w:val="005102D2"/>
    <w:rsid w:val="005176F3"/>
    <w:rsid w:val="00520DFC"/>
    <w:rsid w:val="00524985"/>
    <w:rsid w:val="00524E93"/>
    <w:rsid w:val="005264CD"/>
    <w:rsid w:val="00530B44"/>
    <w:rsid w:val="005362EA"/>
    <w:rsid w:val="0054196C"/>
    <w:rsid w:val="005524BC"/>
    <w:rsid w:val="00552C24"/>
    <w:rsid w:val="00573946"/>
    <w:rsid w:val="0057572E"/>
    <w:rsid w:val="00577DAA"/>
    <w:rsid w:val="00580C09"/>
    <w:rsid w:val="005824E2"/>
    <w:rsid w:val="00587875"/>
    <w:rsid w:val="00596B74"/>
    <w:rsid w:val="005972C8"/>
    <w:rsid w:val="005A0525"/>
    <w:rsid w:val="005A4137"/>
    <w:rsid w:val="005A6DA6"/>
    <w:rsid w:val="005B1221"/>
    <w:rsid w:val="005B4640"/>
    <w:rsid w:val="005B4E15"/>
    <w:rsid w:val="005C3E70"/>
    <w:rsid w:val="005C56EB"/>
    <w:rsid w:val="005D0409"/>
    <w:rsid w:val="005D7B77"/>
    <w:rsid w:val="005E2934"/>
    <w:rsid w:val="005E3F2F"/>
    <w:rsid w:val="006034BB"/>
    <w:rsid w:val="006036B0"/>
    <w:rsid w:val="00617889"/>
    <w:rsid w:val="00624CE2"/>
    <w:rsid w:val="00625D9A"/>
    <w:rsid w:val="0063235A"/>
    <w:rsid w:val="006379E3"/>
    <w:rsid w:val="00641108"/>
    <w:rsid w:val="00642767"/>
    <w:rsid w:val="00650EDD"/>
    <w:rsid w:val="00651D0F"/>
    <w:rsid w:val="00652875"/>
    <w:rsid w:val="0065455A"/>
    <w:rsid w:val="00654AED"/>
    <w:rsid w:val="006600A1"/>
    <w:rsid w:val="00664112"/>
    <w:rsid w:val="00666BB8"/>
    <w:rsid w:val="00673787"/>
    <w:rsid w:val="00674696"/>
    <w:rsid w:val="00675039"/>
    <w:rsid w:val="00676E03"/>
    <w:rsid w:val="006819D9"/>
    <w:rsid w:val="006865EF"/>
    <w:rsid w:val="00687C36"/>
    <w:rsid w:val="00687C69"/>
    <w:rsid w:val="006A0535"/>
    <w:rsid w:val="006A4751"/>
    <w:rsid w:val="006A70EE"/>
    <w:rsid w:val="006B33A4"/>
    <w:rsid w:val="006B6C32"/>
    <w:rsid w:val="006C11DB"/>
    <w:rsid w:val="006C21AD"/>
    <w:rsid w:val="006C4194"/>
    <w:rsid w:val="006C454A"/>
    <w:rsid w:val="006C4683"/>
    <w:rsid w:val="006C6E40"/>
    <w:rsid w:val="006E0355"/>
    <w:rsid w:val="006E4B1B"/>
    <w:rsid w:val="006E638B"/>
    <w:rsid w:val="006F18ED"/>
    <w:rsid w:val="006F21EF"/>
    <w:rsid w:val="007007BE"/>
    <w:rsid w:val="00700E06"/>
    <w:rsid w:val="00701EE5"/>
    <w:rsid w:val="0070282C"/>
    <w:rsid w:val="0071130D"/>
    <w:rsid w:val="00722938"/>
    <w:rsid w:val="00727369"/>
    <w:rsid w:val="00730C26"/>
    <w:rsid w:val="0073464E"/>
    <w:rsid w:val="007465BD"/>
    <w:rsid w:val="0075037E"/>
    <w:rsid w:val="00750BDD"/>
    <w:rsid w:val="00756F3E"/>
    <w:rsid w:val="007618EC"/>
    <w:rsid w:val="00774EC4"/>
    <w:rsid w:val="00775B33"/>
    <w:rsid w:val="00775F92"/>
    <w:rsid w:val="0078091E"/>
    <w:rsid w:val="00781F39"/>
    <w:rsid w:val="00783129"/>
    <w:rsid w:val="00787FB4"/>
    <w:rsid w:val="007908D7"/>
    <w:rsid w:val="00791587"/>
    <w:rsid w:val="007A0012"/>
    <w:rsid w:val="007A56AC"/>
    <w:rsid w:val="007A733F"/>
    <w:rsid w:val="007A7F59"/>
    <w:rsid w:val="007B3395"/>
    <w:rsid w:val="007B64F8"/>
    <w:rsid w:val="007C2955"/>
    <w:rsid w:val="007C4A9F"/>
    <w:rsid w:val="007C5606"/>
    <w:rsid w:val="007D7FBB"/>
    <w:rsid w:val="007E1CED"/>
    <w:rsid w:val="007F1FF5"/>
    <w:rsid w:val="007F259F"/>
    <w:rsid w:val="007F655B"/>
    <w:rsid w:val="00807E5C"/>
    <w:rsid w:val="00810229"/>
    <w:rsid w:val="0081548D"/>
    <w:rsid w:val="00815D72"/>
    <w:rsid w:val="00824C90"/>
    <w:rsid w:val="008301C4"/>
    <w:rsid w:val="00833176"/>
    <w:rsid w:val="00836A56"/>
    <w:rsid w:val="0084452F"/>
    <w:rsid w:val="0085108B"/>
    <w:rsid w:val="008528F3"/>
    <w:rsid w:val="0085425C"/>
    <w:rsid w:val="00860D12"/>
    <w:rsid w:val="008677AA"/>
    <w:rsid w:val="00880040"/>
    <w:rsid w:val="00891260"/>
    <w:rsid w:val="0089287C"/>
    <w:rsid w:val="008939CD"/>
    <w:rsid w:val="00894AF8"/>
    <w:rsid w:val="008A16DF"/>
    <w:rsid w:val="008A71C7"/>
    <w:rsid w:val="008B1AAD"/>
    <w:rsid w:val="008B1C2A"/>
    <w:rsid w:val="008B52C9"/>
    <w:rsid w:val="008C031F"/>
    <w:rsid w:val="008C2F79"/>
    <w:rsid w:val="008D26F7"/>
    <w:rsid w:val="008E13F0"/>
    <w:rsid w:val="008E5865"/>
    <w:rsid w:val="008F0E65"/>
    <w:rsid w:val="008F2CFF"/>
    <w:rsid w:val="00900629"/>
    <w:rsid w:val="009022F4"/>
    <w:rsid w:val="009062EE"/>
    <w:rsid w:val="00925C28"/>
    <w:rsid w:val="00942522"/>
    <w:rsid w:val="00944826"/>
    <w:rsid w:val="00950F26"/>
    <w:rsid w:val="0095166A"/>
    <w:rsid w:val="00951EBB"/>
    <w:rsid w:val="009521A9"/>
    <w:rsid w:val="0095252F"/>
    <w:rsid w:val="009530FF"/>
    <w:rsid w:val="009544DA"/>
    <w:rsid w:val="00961CA4"/>
    <w:rsid w:val="00966A14"/>
    <w:rsid w:val="00967778"/>
    <w:rsid w:val="00972B2E"/>
    <w:rsid w:val="009756D6"/>
    <w:rsid w:val="00981C77"/>
    <w:rsid w:val="00992F5D"/>
    <w:rsid w:val="00993B8A"/>
    <w:rsid w:val="00995733"/>
    <w:rsid w:val="009A4F19"/>
    <w:rsid w:val="009A5BF0"/>
    <w:rsid w:val="009B672C"/>
    <w:rsid w:val="009C09B9"/>
    <w:rsid w:val="009C7C4B"/>
    <w:rsid w:val="009D0B1A"/>
    <w:rsid w:val="009D2B2E"/>
    <w:rsid w:val="009E35C9"/>
    <w:rsid w:val="009F0226"/>
    <w:rsid w:val="009F09AE"/>
    <w:rsid w:val="009F1594"/>
    <w:rsid w:val="009F3101"/>
    <w:rsid w:val="00A00901"/>
    <w:rsid w:val="00A00D23"/>
    <w:rsid w:val="00A0498C"/>
    <w:rsid w:val="00A06D90"/>
    <w:rsid w:val="00A07D33"/>
    <w:rsid w:val="00A11C37"/>
    <w:rsid w:val="00A12ABA"/>
    <w:rsid w:val="00A1768F"/>
    <w:rsid w:val="00A17C17"/>
    <w:rsid w:val="00A220D2"/>
    <w:rsid w:val="00A238D5"/>
    <w:rsid w:val="00A26CC1"/>
    <w:rsid w:val="00A3058A"/>
    <w:rsid w:val="00A314EA"/>
    <w:rsid w:val="00A40033"/>
    <w:rsid w:val="00A415CB"/>
    <w:rsid w:val="00A4356B"/>
    <w:rsid w:val="00A44147"/>
    <w:rsid w:val="00A45D4B"/>
    <w:rsid w:val="00A47054"/>
    <w:rsid w:val="00A513D0"/>
    <w:rsid w:val="00A54B0C"/>
    <w:rsid w:val="00A56D0E"/>
    <w:rsid w:val="00A57ECF"/>
    <w:rsid w:val="00A61346"/>
    <w:rsid w:val="00A7143A"/>
    <w:rsid w:val="00A729C8"/>
    <w:rsid w:val="00A72FC8"/>
    <w:rsid w:val="00A75016"/>
    <w:rsid w:val="00A8544D"/>
    <w:rsid w:val="00A92149"/>
    <w:rsid w:val="00A92CD6"/>
    <w:rsid w:val="00A93CB7"/>
    <w:rsid w:val="00A95032"/>
    <w:rsid w:val="00A9667C"/>
    <w:rsid w:val="00AA7D09"/>
    <w:rsid w:val="00AB1D25"/>
    <w:rsid w:val="00AB4B9E"/>
    <w:rsid w:val="00AC3809"/>
    <w:rsid w:val="00AC5B2B"/>
    <w:rsid w:val="00AD4A24"/>
    <w:rsid w:val="00AD785C"/>
    <w:rsid w:val="00AE74A0"/>
    <w:rsid w:val="00AF076C"/>
    <w:rsid w:val="00AF3A91"/>
    <w:rsid w:val="00AF3D4E"/>
    <w:rsid w:val="00AF4104"/>
    <w:rsid w:val="00AF4672"/>
    <w:rsid w:val="00AF4D1A"/>
    <w:rsid w:val="00AF6885"/>
    <w:rsid w:val="00AF7112"/>
    <w:rsid w:val="00AF78B0"/>
    <w:rsid w:val="00B07B40"/>
    <w:rsid w:val="00B14FF1"/>
    <w:rsid w:val="00B20587"/>
    <w:rsid w:val="00B24348"/>
    <w:rsid w:val="00B273CC"/>
    <w:rsid w:val="00B3052F"/>
    <w:rsid w:val="00B33A1E"/>
    <w:rsid w:val="00B35D52"/>
    <w:rsid w:val="00B36C5E"/>
    <w:rsid w:val="00B40178"/>
    <w:rsid w:val="00B402C9"/>
    <w:rsid w:val="00B42C2F"/>
    <w:rsid w:val="00B45C06"/>
    <w:rsid w:val="00B50C7F"/>
    <w:rsid w:val="00B52C5C"/>
    <w:rsid w:val="00B545E0"/>
    <w:rsid w:val="00B5593B"/>
    <w:rsid w:val="00B57676"/>
    <w:rsid w:val="00B62BC5"/>
    <w:rsid w:val="00B65816"/>
    <w:rsid w:val="00B65849"/>
    <w:rsid w:val="00B70760"/>
    <w:rsid w:val="00B71A19"/>
    <w:rsid w:val="00B72143"/>
    <w:rsid w:val="00B7366B"/>
    <w:rsid w:val="00B771CA"/>
    <w:rsid w:val="00B82977"/>
    <w:rsid w:val="00B82DC5"/>
    <w:rsid w:val="00B877B0"/>
    <w:rsid w:val="00B967F5"/>
    <w:rsid w:val="00BA39CE"/>
    <w:rsid w:val="00BB35AB"/>
    <w:rsid w:val="00BB678B"/>
    <w:rsid w:val="00BC0973"/>
    <w:rsid w:val="00BC6948"/>
    <w:rsid w:val="00BD0898"/>
    <w:rsid w:val="00BD0987"/>
    <w:rsid w:val="00BD11DB"/>
    <w:rsid w:val="00BD7CDA"/>
    <w:rsid w:val="00BE1BEF"/>
    <w:rsid w:val="00BE2186"/>
    <w:rsid w:val="00BE49DA"/>
    <w:rsid w:val="00BE5C97"/>
    <w:rsid w:val="00BF59CA"/>
    <w:rsid w:val="00BF7E99"/>
    <w:rsid w:val="00C01E36"/>
    <w:rsid w:val="00C02036"/>
    <w:rsid w:val="00C0638F"/>
    <w:rsid w:val="00C1247D"/>
    <w:rsid w:val="00C16162"/>
    <w:rsid w:val="00C2047D"/>
    <w:rsid w:val="00C22A4E"/>
    <w:rsid w:val="00C2769A"/>
    <w:rsid w:val="00C27805"/>
    <w:rsid w:val="00C27DE5"/>
    <w:rsid w:val="00C34BB5"/>
    <w:rsid w:val="00C40BD4"/>
    <w:rsid w:val="00C41125"/>
    <w:rsid w:val="00C42652"/>
    <w:rsid w:val="00C454C0"/>
    <w:rsid w:val="00C45C3B"/>
    <w:rsid w:val="00C465A1"/>
    <w:rsid w:val="00C479DF"/>
    <w:rsid w:val="00C60D81"/>
    <w:rsid w:val="00C63711"/>
    <w:rsid w:val="00C64B4E"/>
    <w:rsid w:val="00C670D2"/>
    <w:rsid w:val="00C6773B"/>
    <w:rsid w:val="00C677B1"/>
    <w:rsid w:val="00C71947"/>
    <w:rsid w:val="00C74077"/>
    <w:rsid w:val="00C740EF"/>
    <w:rsid w:val="00C74976"/>
    <w:rsid w:val="00C82AE3"/>
    <w:rsid w:val="00C83032"/>
    <w:rsid w:val="00C85476"/>
    <w:rsid w:val="00C86623"/>
    <w:rsid w:val="00C93543"/>
    <w:rsid w:val="00C9540A"/>
    <w:rsid w:val="00C959DE"/>
    <w:rsid w:val="00C9751A"/>
    <w:rsid w:val="00CB07F6"/>
    <w:rsid w:val="00CB1018"/>
    <w:rsid w:val="00CB1090"/>
    <w:rsid w:val="00CB226F"/>
    <w:rsid w:val="00CB7339"/>
    <w:rsid w:val="00CC3223"/>
    <w:rsid w:val="00CC3771"/>
    <w:rsid w:val="00CC40F3"/>
    <w:rsid w:val="00CD5BDF"/>
    <w:rsid w:val="00CE11B2"/>
    <w:rsid w:val="00CE6397"/>
    <w:rsid w:val="00CE7F0D"/>
    <w:rsid w:val="00CE7FE2"/>
    <w:rsid w:val="00D0165A"/>
    <w:rsid w:val="00D019EC"/>
    <w:rsid w:val="00D13744"/>
    <w:rsid w:val="00D21FF5"/>
    <w:rsid w:val="00D25F00"/>
    <w:rsid w:val="00D30EE7"/>
    <w:rsid w:val="00D31331"/>
    <w:rsid w:val="00D3644C"/>
    <w:rsid w:val="00D36CB0"/>
    <w:rsid w:val="00D507C7"/>
    <w:rsid w:val="00D52DBC"/>
    <w:rsid w:val="00D5534A"/>
    <w:rsid w:val="00D564BF"/>
    <w:rsid w:val="00D742ED"/>
    <w:rsid w:val="00D811B3"/>
    <w:rsid w:val="00D81350"/>
    <w:rsid w:val="00D8605D"/>
    <w:rsid w:val="00DA014A"/>
    <w:rsid w:val="00DA4A54"/>
    <w:rsid w:val="00DA4F4B"/>
    <w:rsid w:val="00DA661A"/>
    <w:rsid w:val="00DB2011"/>
    <w:rsid w:val="00DC2C62"/>
    <w:rsid w:val="00DC43BB"/>
    <w:rsid w:val="00DC7993"/>
    <w:rsid w:val="00DD16D5"/>
    <w:rsid w:val="00DD36B7"/>
    <w:rsid w:val="00DD484A"/>
    <w:rsid w:val="00DE615F"/>
    <w:rsid w:val="00DE743A"/>
    <w:rsid w:val="00DF119F"/>
    <w:rsid w:val="00DF7B71"/>
    <w:rsid w:val="00E0535A"/>
    <w:rsid w:val="00E0636B"/>
    <w:rsid w:val="00E159B6"/>
    <w:rsid w:val="00E43C65"/>
    <w:rsid w:val="00E44047"/>
    <w:rsid w:val="00E46B79"/>
    <w:rsid w:val="00E47476"/>
    <w:rsid w:val="00E479D0"/>
    <w:rsid w:val="00E50085"/>
    <w:rsid w:val="00E575D1"/>
    <w:rsid w:val="00E62594"/>
    <w:rsid w:val="00E6454D"/>
    <w:rsid w:val="00E67117"/>
    <w:rsid w:val="00E70644"/>
    <w:rsid w:val="00E73AEA"/>
    <w:rsid w:val="00E822D7"/>
    <w:rsid w:val="00E860BB"/>
    <w:rsid w:val="00E87F7F"/>
    <w:rsid w:val="00E90358"/>
    <w:rsid w:val="00E92D22"/>
    <w:rsid w:val="00E93ED9"/>
    <w:rsid w:val="00E94BC3"/>
    <w:rsid w:val="00EA1105"/>
    <w:rsid w:val="00EA1B7F"/>
    <w:rsid w:val="00EB57EA"/>
    <w:rsid w:val="00EC072A"/>
    <w:rsid w:val="00EC2D63"/>
    <w:rsid w:val="00EC3245"/>
    <w:rsid w:val="00EC4475"/>
    <w:rsid w:val="00EC4D17"/>
    <w:rsid w:val="00ED39CA"/>
    <w:rsid w:val="00ED4E75"/>
    <w:rsid w:val="00ED59F3"/>
    <w:rsid w:val="00EE25DD"/>
    <w:rsid w:val="00EE381F"/>
    <w:rsid w:val="00EE6E80"/>
    <w:rsid w:val="00EF0AB4"/>
    <w:rsid w:val="00EF264F"/>
    <w:rsid w:val="00EF3B1E"/>
    <w:rsid w:val="00EF662D"/>
    <w:rsid w:val="00F037EB"/>
    <w:rsid w:val="00F03979"/>
    <w:rsid w:val="00F17E67"/>
    <w:rsid w:val="00F2006F"/>
    <w:rsid w:val="00F26333"/>
    <w:rsid w:val="00F35321"/>
    <w:rsid w:val="00F364D4"/>
    <w:rsid w:val="00F41B90"/>
    <w:rsid w:val="00F44FEB"/>
    <w:rsid w:val="00F54536"/>
    <w:rsid w:val="00F55A2C"/>
    <w:rsid w:val="00F5632F"/>
    <w:rsid w:val="00F573B4"/>
    <w:rsid w:val="00F6538E"/>
    <w:rsid w:val="00F71887"/>
    <w:rsid w:val="00F71BCF"/>
    <w:rsid w:val="00F74E03"/>
    <w:rsid w:val="00F76D0E"/>
    <w:rsid w:val="00F8679E"/>
    <w:rsid w:val="00F87095"/>
    <w:rsid w:val="00F870BD"/>
    <w:rsid w:val="00F91409"/>
    <w:rsid w:val="00F9596A"/>
    <w:rsid w:val="00F97AC7"/>
    <w:rsid w:val="00F97FBD"/>
    <w:rsid w:val="00FA2388"/>
    <w:rsid w:val="00FB06D8"/>
    <w:rsid w:val="00FB4F7B"/>
    <w:rsid w:val="00FB541E"/>
    <w:rsid w:val="00FB72DF"/>
    <w:rsid w:val="00FC5708"/>
    <w:rsid w:val="00FE6FF0"/>
    <w:rsid w:val="00FE7E76"/>
    <w:rsid w:val="00FF294E"/>
    <w:rsid w:val="00FF564A"/>
    <w:rsid w:val="2AEB3637"/>
    <w:rsid w:val="32E70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6"/>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0"/>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6"/>
    <w:basedOn w:val="1"/>
    <w:next w:val="1"/>
    <w:link w:val="32"/>
    <w:uiPriority w:val="0"/>
    <w:pPr>
      <w:keepNext/>
      <w:spacing w:after="0" w:line="240" w:lineRule="auto"/>
      <w:ind w:left="360"/>
      <w:jc w:val="center"/>
      <w:outlineLvl w:val="5"/>
    </w:pPr>
    <w:rPr>
      <w:rFonts w:ascii="Times New Roman" w:hAnsi="Times New Roman" w:eastAsia="Times New Roman" w:cs="Times New Roman"/>
      <w:b/>
      <w:i/>
      <w:sz w:val="56"/>
      <w:szCs w:val="5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55"/>
    <w:semiHidden/>
    <w:unhideWhenUsed/>
    <w:uiPriority w:val="99"/>
    <w:pPr>
      <w:spacing w:after="0" w:line="240" w:lineRule="auto"/>
    </w:pPr>
    <w:rPr>
      <w:rFonts w:ascii="Tahoma" w:hAnsi="Tahoma" w:cs="Tahoma"/>
      <w:sz w:val="16"/>
      <w:szCs w:val="16"/>
    </w:rPr>
  </w:style>
  <w:style w:type="paragraph" w:styleId="9">
    <w:name w:val="caption"/>
    <w:basedOn w:val="1"/>
    <w:next w:val="1"/>
    <w:link w:val="47"/>
    <w:unhideWhenUsed/>
    <w:qFormat/>
    <w:uiPriority w:val="35"/>
    <w:pPr>
      <w:spacing w:after="200" w:line="240" w:lineRule="auto"/>
    </w:pPr>
    <w:rPr>
      <w:rFonts w:ascii="Times New Roman" w:hAnsi="Times New Roman"/>
      <w:b/>
      <w:iCs/>
      <w:color w:val="44546A" w:themeColor="text2"/>
      <w:sz w:val="28"/>
      <w:szCs w:val="18"/>
      <w14:textFill>
        <w14:solidFill>
          <w14:schemeClr w14:val="tx2"/>
        </w14:solidFill>
      </w14:textFill>
    </w:rPr>
  </w:style>
  <w:style w:type="paragraph" w:styleId="10">
    <w:name w:val="footer"/>
    <w:basedOn w:val="1"/>
    <w:link w:val="39"/>
    <w:unhideWhenUsed/>
    <w:uiPriority w:val="99"/>
    <w:pPr>
      <w:tabs>
        <w:tab w:val="center" w:pos="4153"/>
        <w:tab w:val="right" w:pos="8306"/>
      </w:tabs>
      <w:spacing w:after="0" w:line="240" w:lineRule="auto"/>
    </w:pPr>
  </w:style>
  <w:style w:type="paragraph" w:styleId="11">
    <w:name w:val="header"/>
    <w:basedOn w:val="1"/>
    <w:link w:val="38"/>
    <w:unhideWhenUsed/>
    <w:qFormat/>
    <w:uiPriority w:val="99"/>
    <w:pPr>
      <w:tabs>
        <w:tab w:val="center" w:pos="4153"/>
        <w:tab w:val="right" w:pos="8306"/>
      </w:tabs>
      <w:spacing w:after="0" w:line="240" w:lineRule="auto"/>
    </w:pPr>
  </w:style>
  <w:style w:type="character" w:styleId="12">
    <w:name w:val="Hyperlink"/>
    <w:basedOn w:val="6"/>
    <w:unhideWhenUsed/>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4">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P"/>
    <w:basedOn w:val="1"/>
    <w:link w:val="16"/>
    <w:qFormat/>
    <w:uiPriority w:val="0"/>
    <w:pPr>
      <w:autoSpaceDE w:val="0"/>
      <w:autoSpaceDN w:val="0"/>
      <w:adjustRightInd w:val="0"/>
      <w:spacing w:after="240" w:line="276" w:lineRule="auto"/>
      <w:ind w:firstLine="720"/>
      <w:jc w:val="both"/>
    </w:pPr>
    <w:rPr>
      <w:rFonts w:eastAsia="SimSun" w:asciiTheme="majorBidi" w:hAnsiTheme="majorBidi" w:cstheme="majorBidi"/>
      <w:color w:val="000000"/>
      <w:sz w:val="24"/>
      <w:szCs w:val="24"/>
      <w:lang w:val="en-GB" w:eastAsia="zh-CN"/>
    </w:rPr>
  </w:style>
  <w:style w:type="character" w:customStyle="1" w:styleId="16">
    <w:name w:val="P Char"/>
    <w:link w:val="15"/>
    <w:qFormat/>
    <w:uiPriority w:val="0"/>
    <w:rPr>
      <w:rFonts w:eastAsia="SimSun" w:asciiTheme="majorBidi" w:hAnsiTheme="majorBidi" w:cstheme="majorBidi"/>
      <w:color w:val="000000"/>
      <w:sz w:val="24"/>
      <w:szCs w:val="24"/>
      <w:lang w:val="en-GB" w:eastAsia="zh-CN"/>
    </w:rPr>
  </w:style>
  <w:style w:type="character" w:customStyle="1" w:styleId="17">
    <w:name w:val="H1 Char"/>
    <w:link w:val="18"/>
    <w:locked/>
    <w:uiPriority w:val="0"/>
    <w:rPr>
      <w:rFonts w:eastAsia="SimSun" w:asciiTheme="majorBidi" w:hAnsiTheme="majorBidi" w:cstheme="majorBidi"/>
      <w:b/>
      <w:bCs/>
      <w:color w:val="000000"/>
      <w:sz w:val="24"/>
      <w:szCs w:val="24"/>
      <w:lang w:val="en-GB" w:eastAsia="zh-CN"/>
    </w:rPr>
  </w:style>
  <w:style w:type="paragraph" w:customStyle="1" w:styleId="18">
    <w:name w:val="H1"/>
    <w:basedOn w:val="19"/>
    <w:link w:val="17"/>
    <w:qFormat/>
    <w:uiPriority w:val="0"/>
    <w:pPr>
      <w:spacing w:before="240"/>
      <w:ind w:firstLine="0"/>
    </w:pPr>
    <w:rPr>
      <w:b/>
      <w:bCs/>
    </w:rPr>
  </w:style>
  <w:style w:type="paragraph" w:customStyle="1" w:styleId="19">
    <w:name w:val="Style1"/>
    <w:basedOn w:val="15"/>
    <w:link w:val="27"/>
    <w:qFormat/>
    <w:uiPriority w:val="0"/>
  </w:style>
  <w:style w:type="paragraph" w:customStyle="1" w:styleId="20">
    <w:name w:val="Title-"/>
    <w:basedOn w:val="2"/>
    <w:link w:val="21"/>
    <w:qFormat/>
    <w:uiPriority w:val="0"/>
    <w:pPr>
      <w:keepNext w:val="0"/>
      <w:keepLines w:val="0"/>
      <w:autoSpaceDE w:val="0"/>
      <w:autoSpaceDN w:val="0"/>
      <w:adjustRightInd w:val="0"/>
      <w:spacing w:before="0" w:line="480" w:lineRule="auto"/>
      <w:contextualSpacing/>
      <w:jc w:val="center"/>
    </w:pPr>
    <w:rPr>
      <w:rFonts w:ascii="Times New Roman" w:hAnsi="Times New Roman" w:eastAsia="Times New Roman" w:cs="Times New Roman"/>
      <w:b/>
      <w:bCs/>
      <w:color w:val="000000"/>
      <w:sz w:val="28"/>
      <w:szCs w:val="28"/>
    </w:rPr>
  </w:style>
  <w:style w:type="character" w:customStyle="1" w:styleId="21">
    <w:name w:val="Title- Char"/>
    <w:link w:val="20"/>
    <w:qFormat/>
    <w:uiPriority w:val="0"/>
    <w:rPr>
      <w:rFonts w:ascii="Times New Roman" w:hAnsi="Times New Roman" w:eastAsia="Times New Roman" w:cs="Times New Roman"/>
      <w:b/>
      <w:bCs/>
      <w:color w:val="000000"/>
      <w:sz w:val="28"/>
      <w:szCs w:val="28"/>
    </w:rPr>
  </w:style>
  <w:style w:type="character" w:customStyle="1" w:styleId="22">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paragraph" w:styleId="23">
    <w:name w:val="List Paragraph"/>
    <w:basedOn w:val="1"/>
    <w:link w:val="37"/>
    <w:qFormat/>
    <w:uiPriority w:val="1"/>
    <w:pPr>
      <w:ind w:left="720"/>
      <w:contextualSpacing/>
    </w:p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25">
    <w:name w:val="fontstyle01"/>
    <w:basedOn w:val="6"/>
    <w:uiPriority w:val="0"/>
    <w:rPr>
      <w:rFonts w:hint="default" w:ascii="Times New Roman" w:hAnsi="Times New Roman" w:cs="Times New Roman"/>
      <w:b/>
      <w:bCs/>
      <w:color w:val="000000"/>
      <w:sz w:val="20"/>
      <w:szCs w:val="20"/>
    </w:rPr>
  </w:style>
  <w:style w:type="paragraph" w:customStyle="1" w:styleId="26">
    <w:name w:val="EndNote Bibliography Title"/>
    <w:basedOn w:val="1"/>
    <w:link w:val="28"/>
    <w:qFormat/>
    <w:uiPriority w:val="0"/>
    <w:pPr>
      <w:spacing w:after="0"/>
      <w:jc w:val="center"/>
    </w:pPr>
    <w:rPr>
      <w:rFonts w:ascii="Times New Roman" w:hAnsi="Times New Roman" w:cs="Times New Roman"/>
      <w:sz w:val="24"/>
    </w:rPr>
  </w:style>
  <w:style w:type="character" w:customStyle="1" w:styleId="27">
    <w:name w:val="Style1 Char"/>
    <w:basedOn w:val="16"/>
    <w:link w:val="19"/>
    <w:qFormat/>
    <w:uiPriority w:val="0"/>
    <w:rPr>
      <w:rFonts w:eastAsia="SimSun" w:asciiTheme="majorBidi" w:hAnsiTheme="majorBidi" w:cstheme="majorBidi"/>
      <w:color w:val="000000"/>
      <w:sz w:val="24"/>
      <w:szCs w:val="24"/>
      <w:lang w:val="en-GB" w:eastAsia="zh-CN"/>
    </w:rPr>
  </w:style>
  <w:style w:type="character" w:customStyle="1" w:styleId="28">
    <w:name w:val="EndNote Bibliography Title Char"/>
    <w:basedOn w:val="27"/>
    <w:link w:val="26"/>
    <w:qFormat/>
    <w:uiPriority w:val="0"/>
    <w:rPr>
      <w:rFonts w:ascii="Times New Roman" w:hAnsi="Times New Roman" w:eastAsia="SimSun" w:cs="Times New Roman"/>
      <w:color w:val="000000"/>
      <w:sz w:val="24"/>
      <w:szCs w:val="24"/>
      <w:lang w:val="en-GB" w:eastAsia="zh-CN"/>
    </w:rPr>
  </w:style>
  <w:style w:type="paragraph" w:customStyle="1" w:styleId="29">
    <w:name w:val="EndNote Bibliography"/>
    <w:basedOn w:val="1"/>
    <w:link w:val="30"/>
    <w:uiPriority w:val="0"/>
    <w:pPr>
      <w:spacing w:line="240" w:lineRule="auto"/>
      <w:jc w:val="both"/>
    </w:pPr>
    <w:rPr>
      <w:rFonts w:ascii="Times New Roman" w:hAnsi="Times New Roman" w:cs="Times New Roman"/>
      <w:sz w:val="24"/>
    </w:rPr>
  </w:style>
  <w:style w:type="character" w:customStyle="1" w:styleId="30">
    <w:name w:val="EndNote Bibliography Char"/>
    <w:basedOn w:val="27"/>
    <w:link w:val="29"/>
    <w:uiPriority w:val="0"/>
    <w:rPr>
      <w:rFonts w:ascii="Times New Roman" w:hAnsi="Times New Roman" w:eastAsia="SimSun" w:cs="Times New Roman"/>
      <w:color w:val="000000"/>
      <w:sz w:val="24"/>
      <w:szCs w:val="24"/>
      <w:lang w:val="en-GB" w:eastAsia="zh-CN"/>
    </w:rPr>
  </w:style>
  <w:style w:type="character" w:customStyle="1" w:styleId="31">
    <w:name w:val="Unresolved Mention"/>
    <w:basedOn w:val="6"/>
    <w:semiHidden/>
    <w:unhideWhenUsed/>
    <w:qFormat/>
    <w:uiPriority w:val="99"/>
    <w:rPr>
      <w:color w:val="605E5C"/>
      <w:shd w:val="clear" w:color="auto" w:fill="E1DFDD"/>
    </w:rPr>
  </w:style>
  <w:style w:type="character" w:customStyle="1" w:styleId="32">
    <w:name w:val="Heading 6 Char"/>
    <w:basedOn w:val="6"/>
    <w:link w:val="5"/>
    <w:uiPriority w:val="0"/>
    <w:rPr>
      <w:rFonts w:ascii="Times New Roman" w:hAnsi="Times New Roman" w:eastAsia="Times New Roman" w:cs="Times New Roman"/>
      <w:b/>
      <w:i/>
      <w:sz w:val="56"/>
      <w:szCs w:val="56"/>
    </w:rPr>
  </w:style>
  <w:style w:type="character" w:customStyle="1" w:styleId="33">
    <w:name w:val="metadata--author-name"/>
    <w:basedOn w:val="6"/>
    <w:uiPriority w:val="0"/>
  </w:style>
  <w:style w:type="paragraph" w:styleId="34">
    <w:name w:val="No Spacing"/>
    <w:qFormat/>
    <w:uiPriority w:val="1"/>
    <w:pPr>
      <w:spacing w:after="240" w:line="240" w:lineRule="auto"/>
    </w:pPr>
    <w:rPr>
      <w:rFonts w:ascii="Times New Roman" w:hAnsi="Times New Roman" w:eastAsia="Calibri" w:cs="Times New Roman"/>
      <w:sz w:val="20"/>
      <w:szCs w:val="20"/>
      <w:lang w:val="en-US" w:eastAsia="en-US" w:bidi="ar-SA"/>
    </w:rPr>
  </w:style>
  <w:style w:type="table" w:customStyle="1" w:styleId="35">
    <w:name w:val="شبكة جدول1"/>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Heading 2 Char"/>
    <w:basedOn w:val="6"/>
    <w:link w:val="3"/>
    <w:uiPriority w:val="9"/>
    <w:rPr>
      <w:rFonts w:asciiTheme="majorHAnsi" w:hAnsiTheme="majorHAnsi" w:eastAsiaTheme="majorEastAsia" w:cstheme="majorBidi"/>
      <w:color w:val="2F5597" w:themeColor="accent1" w:themeShade="BF"/>
      <w:sz w:val="26"/>
      <w:szCs w:val="26"/>
    </w:rPr>
  </w:style>
  <w:style w:type="character" w:customStyle="1" w:styleId="37">
    <w:name w:val="List Paragraph Char"/>
    <w:basedOn w:val="6"/>
    <w:link w:val="23"/>
    <w:locked/>
    <w:uiPriority w:val="1"/>
  </w:style>
  <w:style w:type="character" w:customStyle="1" w:styleId="38">
    <w:name w:val="Header Char"/>
    <w:basedOn w:val="6"/>
    <w:link w:val="11"/>
    <w:uiPriority w:val="99"/>
  </w:style>
  <w:style w:type="character" w:customStyle="1" w:styleId="39">
    <w:name w:val="Footer Char"/>
    <w:basedOn w:val="6"/>
    <w:link w:val="10"/>
    <w:uiPriority w:val="99"/>
  </w:style>
  <w:style w:type="character" w:customStyle="1" w:styleId="40">
    <w:name w:val="Heading 3 Char"/>
    <w:basedOn w:val="6"/>
    <w:link w:val="4"/>
    <w:semiHidden/>
    <w:uiPriority w:val="9"/>
    <w:rPr>
      <w:rFonts w:asciiTheme="majorHAnsi" w:hAnsiTheme="majorHAnsi" w:eastAsiaTheme="majorEastAsia" w:cstheme="majorBidi"/>
      <w:color w:val="203864" w:themeColor="accent1" w:themeShade="80"/>
      <w:sz w:val="24"/>
      <w:szCs w:val="24"/>
    </w:rPr>
  </w:style>
  <w:style w:type="paragraph" w:customStyle="1" w:styleId="41">
    <w:name w:val="ppp"/>
    <w:basedOn w:val="1"/>
    <w:link w:val="42"/>
    <w:qFormat/>
    <w:uiPriority w:val="0"/>
    <w:pPr>
      <w:spacing w:after="200" w:line="360" w:lineRule="auto"/>
      <w:ind w:firstLine="709"/>
      <w:jc w:val="both"/>
    </w:pPr>
    <w:rPr>
      <w:rFonts w:ascii="Times New Roman" w:hAnsi="Times New Roman" w:eastAsia="Calibri" w:cs="Times New Roman"/>
      <w:sz w:val="28"/>
      <w:szCs w:val="28"/>
    </w:rPr>
  </w:style>
  <w:style w:type="character" w:customStyle="1" w:styleId="42">
    <w:name w:val="ppp Char"/>
    <w:basedOn w:val="6"/>
    <w:link w:val="41"/>
    <w:uiPriority w:val="0"/>
    <w:rPr>
      <w:rFonts w:ascii="Times New Roman" w:hAnsi="Times New Roman" w:eastAsia="Calibri" w:cs="Times New Roman"/>
      <w:sz w:val="28"/>
      <w:szCs w:val="28"/>
    </w:rPr>
  </w:style>
  <w:style w:type="table" w:customStyle="1" w:styleId="43">
    <w:name w:val="Table Grid3"/>
    <w:basedOn w:val="7"/>
    <w:uiPriority w:val="5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Table Grid4"/>
    <w:basedOn w:val="7"/>
    <w:uiPriority w:val="59"/>
    <w:pPr>
      <w:spacing w:after="0" w:line="240" w:lineRule="auto"/>
    </w:pPr>
    <w:rPr>
      <w:rFonts w:ascii="Calibri" w:hAnsi="Calibri" w:eastAsia="Calibri" w:cs="Arial"/>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Tab"/>
    <w:basedOn w:val="1"/>
    <w:link w:val="46"/>
    <w:qFormat/>
    <w:uiPriority w:val="0"/>
    <w:pPr>
      <w:spacing w:before="120" w:after="0" w:line="240" w:lineRule="auto"/>
    </w:pPr>
    <w:rPr>
      <w:rFonts w:eastAsia="Calibri" w:asciiTheme="majorBidi" w:hAnsiTheme="majorBidi" w:cstheme="majorBidi"/>
      <w:b/>
      <w:bCs/>
      <w:sz w:val="24"/>
      <w:szCs w:val="24"/>
    </w:rPr>
  </w:style>
  <w:style w:type="character" w:customStyle="1" w:styleId="46">
    <w:name w:val="Tab Char"/>
    <w:basedOn w:val="6"/>
    <w:link w:val="45"/>
    <w:uiPriority w:val="0"/>
    <w:rPr>
      <w:rFonts w:eastAsia="Calibri" w:asciiTheme="majorBidi" w:hAnsiTheme="majorBidi" w:cstheme="majorBidi"/>
      <w:b/>
      <w:bCs/>
      <w:sz w:val="24"/>
      <w:szCs w:val="24"/>
    </w:rPr>
  </w:style>
  <w:style w:type="character" w:customStyle="1" w:styleId="47">
    <w:name w:val="Caption Char"/>
    <w:basedOn w:val="6"/>
    <w:link w:val="9"/>
    <w:uiPriority w:val="35"/>
    <w:rPr>
      <w:rFonts w:ascii="Times New Roman" w:hAnsi="Times New Roman"/>
      <w:b/>
      <w:iCs/>
      <w:color w:val="44546A" w:themeColor="text2"/>
      <w:sz w:val="28"/>
      <w:szCs w:val="18"/>
      <w14:textFill>
        <w14:solidFill>
          <w14:schemeClr w14:val="tx2"/>
        </w14:solidFill>
      </w14:textFill>
    </w:rPr>
  </w:style>
  <w:style w:type="paragraph" w:customStyle="1" w:styleId="48">
    <w:name w:val="Fig"/>
    <w:basedOn w:val="9"/>
    <w:link w:val="49"/>
    <w:qFormat/>
    <w:uiPriority w:val="0"/>
    <w:pPr>
      <w:keepNext/>
      <w:spacing w:after="0"/>
      <w:jc w:val="center"/>
    </w:pPr>
    <w:rPr>
      <w:rFonts w:eastAsia="Calibri" w:asciiTheme="majorBidi" w:hAnsiTheme="majorBidi" w:cstheme="majorBidi"/>
      <w:bCs/>
      <w:iCs w:val="0"/>
      <w:color w:val="000000" w:themeColor="text1"/>
      <w:szCs w:val="28"/>
      <w14:textFill>
        <w14:solidFill>
          <w14:schemeClr w14:val="tx1"/>
        </w14:solidFill>
      </w14:textFill>
    </w:rPr>
  </w:style>
  <w:style w:type="character" w:customStyle="1" w:styleId="49">
    <w:name w:val="Fig Char"/>
    <w:basedOn w:val="47"/>
    <w:link w:val="48"/>
    <w:uiPriority w:val="0"/>
    <w:rPr>
      <w:rFonts w:eastAsia="Calibri" w:asciiTheme="majorBidi" w:hAnsiTheme="majorBidi" w:cstheme="majorBidi"/>
      <w:bCs/>
      <w:iCs w:val="0"/>
      <w:color w:val="000000" w:themeColor="text1"/>
      <w:sz w:val="28"/>
      <w:szCs w:val="28"/>
      <w14:textFill>
        <w14:solidFill>
          <w14:schemeClr w14:val="tx1"/>
        </w14:solidFill>
      </w14:textFill>
    </w:rPr>
  </w:style>
  <w:style w:type="table" w:customStyle="1" w:styleId="50">
    <w:name w:val="Plain Table 1"/>
    <w:basedOn w:val="7"/>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1">
    <w:name w:val="footnote"/>
    <w:basedOn w:val="1"/>
    <w:link w:val="52"/>
    <w:qFormat/>
    <w:uiPriority w:val="0"/>
    <w:pPr>
      <w:spacing w:line="240" w:lineRule="auto"/>
      <w:jc w:val="both"/>
    </w:pPr>
    <w:rPr>
      <w:rFonts w:asciiTheme="majorBidi" w:hAnsiTheme="majorBidi" w:cstheme="majorBidi"/>
      <w:sz w:val="20"/>
      <w:szCs w:val="20"/>
    </w:rPr>
  </w:style>
  <w:style w:type="character" w:customStyle="1" w:styleId="52">
    <w:name w:val="footnote Char"/>
    <w:basedOn w:val="6"/>
    <w:link w:val="51"/>
    <w:uiPriority w:val="0"/>
    <w:rPr>
      <w:rFonts w:asciiTheme="majorBidi" w:hAnsiTheme="majorBidi" w:cstheme="majorBidi"/>
      <w:sz w:val="20"/>
      <w:szCs w:val="20"/>
    </w:rPr>
  </w:style>
  <w:style w:type="paragraph" w:customStyle="1" w:styleId="53">
    <w:name w:val="Paragraph"/>
    <w:basedOn w:val="1"/>
    <w:next w:val="1"/>
    <w:link w:val="54"/>
    <w:uiPriority w:val="0"/>
    <w:pPr>
      <w:spacing w:line="360" w:lineRule="auto"/>
      <w:ind w:firstLine="720"/>
      <w:jc w:val="both"/>
    </w:pPr>
    <w:rPr>
      <w:rFonts w:eastAsia="Calibri" w:asciiTheme="majorBidi" w:hAnsiTheme="majorBidi" w:cstheme="majorBidi"/>
      <w:color w:val="000000" w:themeColor="text1"/>
      <w:sz w:val="28"/>
      <w:szCs w:val="24"/>
      <w:shd w:val="clear" w:color="auto" w:fill="FCFCFC"/>
      <w:lang w:bidi="ar-EG"/>
      <w14:textFill>
        <w14:solidFill>
          <w14:schemeClr w14:val="tx1"/>
        </w14:solidFill>
      </w14:textFill>
    </w:rPr>
  </w:style>
  <w:style w:type="character" w:customStyle="1" w:styleId="54">
    <w:name w:val="Paragraph Char"/>
    <w:basedOn w:val="6"/>
    <w:link w:val="53"/>
    <w:uiPriority w:val="0"/>
    <w:rPr>
      <w:rFonts w:eastAsia="Calibri" w:asciiTheme="majorBidi" w:hAnsiTheme="majorBidi" w:cstheme="majorBidi"/>
      <w:color w:val="000000" w:themeColor="text1"/>
      <w:sz w:val="28"/>
      <w:szCs w:val="24"/>
      <w:lang w:bidi="ar-EG"/>
      <w14:textFill>
        <w14:solidFill>
          <w14:schemeClr w14:val="tx1"/>
        </w14:solidFill>
      </w14:textFill>
    </w:rPr>
  </w:style>
  <w:style w:type="character" w:customStyle="1" w:styleId="55">
    <w:name w:val="Balloon Text Char"/>
    <w:basedOn w:val="6"/>
    <w:link w:val="8"/>
    <w:semiHidden/>
    <w:uiPriority w:val="99"/>
    <w:rPr>
      <w:rFonts w:ascii="Tahoma" w:hAnsi="Tahoma" w:cs="Tahoma"/>
      <w:sz w:val="16"/>
      <w:szCs w:val="16"/>
    </w:rPr>
  </w:style>
  <w:style w:type="table" w:customStyle="1" w:styleId="56">
    <w:name w:val="Table Grid2"/>
    <w:basedOn w:val="7"/>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Table Grid31"/>
    <w:basedOn w:val="7"/>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1.emf"/><Relationship Id="rId4" Type="http://schemas.openxmlformats.org/officeDocument/2006/relationships/endnotes" Target="endnotes.xml"/><Relationship Id="rId39" Type="http://schemas.openxmlformats.org/officeDocument/2006/relationships/image" Target="media/image20.emf"/><Relationship Id="rId38" Type="http://schemas.openxmlformats.org/officeDocument/2006/relationships/image" Target="media/image19.emf"/><Relationship Id="rId37" Type="http://schemas.openxmlformats.org/officeDocument/2006/relationships/image" Target="media/image18.emf"/><Relationship Id="rId36" Type="http://schemas.openxmlformats.org/officeDocument/2006/relationships/oleObject" Target="embeddings/oleObject8.bin"/><Relationship Id="rId35" Type="http://schemas.openxmlformats.org/officeDocument/2006/relationships/image" Target="media/image17.emf"/><Relationship Id="rId34" Type="http://schemas.openxmlformats.org/officeDocument/2006/relationships/image" Target="media/image16.emf"/><Relationship Id="rId33" Type="http://schemas.openxmlformats.org/officeDocument/2006/relationships/image" Target="media/image15.emf"/><Relationship Id="rId32" Type="http://schemas.openxmlformats.org/officeDocument/2006/relationships/oleObject" Target="embeddings/oleObject7.bin"/><Relationship Id="rId31" Type="http://schemas.openxmlformats.org/officeDocument/2006/relationships/image" Target="media/image14.emf"/><Relationship Id="rId30" Type="http://schemas.openxmlformats.org/officeDocument/2006/relationships/image" Target="media/image13.emf"/><Relationship Id="rId3" Type="http://schemas.openxmlformats.org/officeDocument/2006/relationships/footnotes" Target="footnotes.xml"/><Relationship Id="rId29" Type="http://schemas.openxmlformats.org/officeDocument/2006/relationships/image" Target="media/image12.emf"/><Relationship Id="rId28" Type="http://schemas.openxmlformats.org/officeDocument/2006/relationships/oleObject" Target="embeddings/oleObject6.bin"/><Relationship Id="rId27" Type="http://schemas.openxmlformats.org/officeDocument/2006/relationships/image" Target="media/image11.emf"/><Relationship Id="rId26" Type="http://schemas.openxmlformats.org/officeDocument/2006/relationships/image" Target="media/image10.emf"/><Relationship Id="rId25" Type="http://schemas.openxmlformats.org/officeDocument/2006/relationships/image" Target="media/image9.emf"/><Relationship Id="rId24" Type="http://schemas.openxmlformats.org/officeDocument/2006/relationships/oleObject" Target="embeddings/oleObject5.bin"/><Relationship Id="rId23" Type="http://schemas.openxmlformats.org/officeDocument/2006/relationships/image" Target="media/image8.emf"/><Relationship Id="rId22" Type="http://schemas.openxmlformats.org/officeDocument/2006/relationships/image" Target="media/image7.emf"/><Relationship Id="rId21" Type="http://schemas.openxmlformats.org/officeDocument/2006/relationships/image" Target="media/image6.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emf"/><Relationship Id="rId17" Type="http://schemas.openxmlformats.org/officeDocument/2006/relationships/oleObject" Target="embeddings/oleObject3.bin"/><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Info spid="_x0000_s1033"/>
    <customShpInfo spid="_x0000_s1035"/>
    <customShpInfo spid="_x0000_s103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7F36B-30F3-4544-A637-783EF42F2886}">
  <ds:schemaRefs/>
</ds:datastoreItem>
</file>

<file path=docProps/app.xml><?xml version="1.0" encoding="utf-8"?>
<Properties xmlns="http://schemas.openxmlformats.org/officeDocument/2006/extended-properties" xmlns:vt="http://schemas.openxmlformats.org/officeDocument/2006/docPropsVTypes">
  <Template>Normal</Template>
  <Pages>16</Pages>
  <Words>5332</Words>
  <Characters>30395</Characters>
  <Lines>253</Lines>
  <Paragraphs>71</Paragraphs>
  <TotalTime>7</TotalTime>
  <ScaleCrop>false</ScaleCrop>
  <LinksUpToDate>false</LinksUpToDate>
  <CharactersWithSpaces>35656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2025-04-17T10:32:00Z</dcterms:created>
  <dc:creator>Mostafa Sami Madbouly Mr.</dc:creator>
  <cp:lastModifiedBy>ghada .ashraf</cp:lastModifiedBy>
  <cp:lastPrinted>2023-07-11T08:36:00Z</cp:lastPrinted>
  <dcterms:modified xsi:type="dcterms:W3CDTF">2025-07-17T01:35:38Z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969647D77E324285AD63FBABB06D9C8F_13</vt:lpwstr>
  </property>
</Properties>
</file>